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Arial" w:hAnsi="Arial"/>
          <w:b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Marco de Medição de Desempenho dos Tribunais de Contas (MMD-TC)</w:t>
      </w:r>
    </w:p>
    <w:p>
      <w:pPr>
        <w:pStyle w:val="style0"/>
        <w:spacing w:after="0" w:before="0"/>
        <w:contextualSpacing w:val="false"/>
        <w:jc w:val="center"/>
        <w:rPr>
          <w:rFonts w:ascii="Arial" w:hAnsi="Arial"/>
          <w:b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 xml:space="preserve">Projeto Qualidade e Agilidade dos Tribunais de Contas (QATC) </w:t>
      </w:r>
    </w:p>
    <w:p>
      <w:pPr>
        <w:pStyle w:val="style0"/>
        <w:spacing w:after="0" w:before="0"/>
        <w:contextualSpacing w:val="false"/>
        <w:jc w:val="center"/>
        <w:rPr>
          <w:rFonts w:ascii="Arial" w:hAnsi="Arial"/>
          <w:b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Treinamento das Comissões de Avaliação dos Tribunais de Contas</w:t>
      </w:r>
    </w:p>
    <w:p>
      <w:pPr>
        <w:pStyle w:val="style0"/>
        <w:spacing w:after="0" w:before="0"/>
        <w:contextualSpacing w:val="false"/>
        <w:jc w:val="center"/>
        <w:rPr>
          <w:rFonts w:ascii="Arial" w:hAnsi="Arial"/>
          <w:b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 xml:space="preserve">Exercício de pontuação de indicadores de MMD-TC </w:t>
      </w:r>
    </w:p>
    <w:p>
      <w:pPr>
        <w:pStyle w:val="style0"/>
        <w:spacing w:after="0" w:before="0"/>
        <w:contextualSpacing w:val="false"/>
        <w:jc w:val="both"/>
        <w:rPr>
          <w:rFonts w:ascii="Arial" w:hAnsi="Arial"/>
          <w:b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</w:r>
    </w:p>
    <w:p>
      <w:pPr>
        <w:pStyle w:val="style0"/>
        <w:spacing w:after="0" w:before="0"/>
        <w:contextualSpacing w:val="false"/>
        <w:jc w:val="both"/>
        <w:rPr>
          <w:rFonts w:ascii="Arial" w:hAnsi="Arial"/>
          <w:b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DOMINIO F: NORMAS E METODOLOGIA DE AUDITORIA</w:t>
      </w:r>
    </w:p>
    <w:p>
      <w:pPr>
        <w:pStyle w:val="style0"/>
        <w:spacing w:after="0" w:before="0"/>
        <w:contextualSpacing w:val="false"/>
        <w:jc w:val="both"/>
        <w:rPr>
          <w:rFonts w:ascii="Arial" w:cs="Times New Roman" w:eastAsia="Times New Roman" w:hAnsi="Arial"/>
          <w:b/>
          <w:bCs/>
          <w:color w:val="000000"/>
          <w:sz w:val="24"/>
          <w:szCs w:val="24"/>
          <w:shd w:fill="FFFF00" w:val="clear"/>
          <w:lang w:val="pt-BR"/>
        </w:rPr>
      </w:pPr>
      <w:r>
        <w:rPr>
          <w:rFonts w:ascii="Arial" w:cs="Times New Roman" w:eastAsia="Times New Roman" w:hAnsi="Arial"/>
          <w:b/>
          <w:bCs/>
          <w:color w:val="000000"/>
          <w:sz w:val="24"/>
          <w:szCs w:val="24"/>
          <w:shd w:fill="FFFF00" w:val="clear"/>
          <w:lang w:val="pt-BR"/>
        </w:rPr>
        <w:t>QATC18-Fundamentos da Auditoria de Conformidade</w:t>
      </w:r>
    </w:p>
    <w:p>
      <w:pPr>
        <w:pStyle w:val="style0"/>
        <w:spacing w:after="0" w:before="0"/>
        <w:contextualSpacing w:val="false"/>
        <w:jc w:val="both"/>
        <w:rPr>
          <w:rFonts w:ascii="Arial" w:cs="Times New Roman" w:eastAsia="Times New Roman" w:hAnsi="Arial"/>
          <w:b/>
          <w:bCs/>
          <w:sz w:val="24"/>
          <w:szCs w:val="24"/>
          <w:shd w:fill="FFFF00" w:val="clear"/>
          <w:lang w:val="pt-BR"/>
        </w:rPr>
      </w:pPr>
      <w:r>
        <w:rPr>
          <w:rFonts w:ascii="Arial" w:cs="Times New Roman" w:eastAsia="Times New Roman" w:hAnsi="Arial"/>
          <w:b/>
          <w:bCs/>
          <w:color w:val="000000"/>
          <w:sz w:val="24"/>
          <w:szCs w:val="24"/>
          <w:shd w:fill="FFFF00" w:val="clear"/>
          <w:lang w:val="pt-BR"/>
        </w:rPr>
        <w:t xml:space="preserve">QATC19- </w:t>
      </w:r>
      <w:r>
        <w:rPr>
          <w:rFonts w:ascii="Arial" w:cs="Times New Roman" w:eastAsia="Times New Roman" w:hAnsi="Arial"/>
          <w:b/>
          <w:bCs/>
          <w:sz w:val="24"/>
          <w:szCs w:val="24"/>
          <w:shd w:fill="FFFF00" w:val="clear"/>
          <w:lang w:val="pt-BR"/>
        </w:rPr>
        <w:t>Processo de Auditoria de Conformidade</w:t>
      </w:r>
    </w:p>
    <w:p>
      <w:pPr>
        <w:pStyle w:val="style0"/>
        <w:tabs>
          <w:tab w:leader="none" w:pos="9406" w:val="right"/>
        </w:tabs>
        <w:spacing w:after="0" w:before="0"/>
        <w:contextualSpacing w:val="false"/>
        <w:jc w:val="both"/>
        <w:rPr>
          <w:rFonts w:ascii="Arial" w:cs="Times New Roman" w:eastAsia="Times New Roman" w:hAnsi="Arial"/>
          <w:b/>
          <w:bCs/>
          <w:color w:val="000000"/>
          <w:sz w:val="24"/>
          <w:szCs w:val="24"/>
          <w:lang w:val="pt-BR"/>
        </w:rPr>
      </w:pPr>
      <w:r>
        <w:rPr>
          <w:rFonts w:ascii="Arial" w:cs="Times New Roman" w:eastAsia="Times New Roman" w:hAnsi="Arial"/>
          <w:b/>
          <w:bCs/>
          <w:color w:val="000000"/>
          <w:sz w:val="24"/>
          <w:szCs w:val="24"/>
          <w:lang w:val="pt-BR"/>
        </w:rPr>
      </w:r>
    </w:p>
    <w:p>
      <w:pPr>
        <w:pStyle w:val="style0"/>
        <w:spacing w:after="0" w:before="0"/>
        <w:contextualSpacing w:val="false"/>
        <w:jc w:val="both"/>
        <w:rPr>
          <w:rFonts w:ascii="Arial" w:cs="Arial" w:hAnsi="Arial"/>
          <w:b/>
          <w:color w:val="000000"/>
          <w:sz w:val="24"/>
          <w:szCs w:val="24"/>
          <w:lang w:val="pt-BR"/>
        </w:rPr>
      </w:pPr>
      <w:r>
        <w:rPr>
          <w:rFonts w:ascii="Arial" w:cs="Arial" w:hAnsi="Arial"/>
          <w:b/>
          <w:sz w:val="24"/>
          <w:szCs w:val="24"/>
          <w:lang w:val="pt-BR"/>
        </w:rPr>
        <w:t xml:space="preserve">Tarefa </w:t>
      </w:r>
      <w:r>
        <w:rPr>
          <w:rFonts w:ascii="Arial" w:cs="Arial" w:hAnsi="Arial"/>
          <w:b/>
          <w:color w:val="000000"/>
          <w:sz w:val="24"/>
          <w:szCs w:val="24"/>
          <w:lang w:val="pt-BR"/>
        </w:rPr>
        <w:t>2:</w:t>
      </w:r>
    </w:p>
    <w:p>
      <w:pPr>
        <w:pStyle w:val="style0"/>
        <w:spacing w:after="0" w:before="0"/>
        <w:contextualSpacing w:val="false"/>
        <w:jc w:val="both"/>
        <w:rPr>
          <w:rFonts w:ascii="Arial" w:cs="Arial" w:eastAsia="Times New Roman" w:hAnsi="Arial"/>
          <w:sz w:val="24"/>
          <w:szCs w:val="24"/>
          <w:lang w:val="pt-BR"/>
        </w:rPr>
      </w:pPr>
      <w:r>
        <w:rPr>
          <w:rFonts w:ascii="Arial" w:cs="Arial" w:eastAsia="Times New Roman" w:hAnsi="Arial"/>
          <w:sz w:val="24"/>
          <w:szCs w:val="24"/>
          <w:lang w:val="pt-BR"/>
        </w:rPr>
      </w:r>
    </w:p>
    <w:p>
      <w:pPr>
        <w:pStyle w:val="style0"/>
        <w:spacing w:after="0" w:before="0"/>
        <w:contextualSpacing w:val="false"/>
        <w:jc w:val="both"/>
        <w:rPr>
          <w:rFonts w:ascii="Arial" w:cs="Arial" w:eastAsia="Times New Roman" w:hAnsi="Arial"/>
          <w:sz w:val="24"/>
          <w:szCs w:val="24"/>
          <w:lang w:val="pt-BR"/>
        </w:rPr>
      </w:pPr>
      <w:r>
        <w:rPr>
          <w:rFonts w:ascii="Arial" w:cs="Arial" w:eastAsia="Times New Roman" w:hAnsi="Arial"/>
          <w:sz w:val="24"/>
          <w:szCs w:val="24"/>
          <w:lang w:val="pt-BR"/>
        </w:rPr>
        <w:t>A partir das informações fornecidas abaixo, atribua uma pontuação para os seguintes itens:</w:t>
      </w:r>
    </w:p>
    <w:p>
      <w:pPr>
        <w:pStyle w:val="style74"/>
        <w:numPr>
          <w:ilvl w:val="0"/>
          <w:numId w:val="3"/>
        </w:numPr>
        <w:spacing w:after="0" w:before="0"/>
        <w:contextualSpacing/>
        <w:jc w:val="both"/>
        <w:rPr>
          <w:rFonts w:ascii="Arial" w:cs="Arial" w:eastAsia="Times New Roman" w:hAnsi="Arial"/>
          <w:b/>
          <w:bCs/>
          <w:i/>
          <w:iCs/>
          <w:sz w:val="24"/>
          <w:szCs w:val="24"/>
          <w:lang w:val="pt-BR"/>
        </w:rPr>
      </w:pPr>
      <w:r>
        <w:rPr>
          <w:rFonts w:ascii="Arial" w:cs="Arial" w:eastAsia="Times New Roman" w:hAnsi="Arial"/>
          <w:sz w:val="24"/>
          <w:szCs w:val="24"/>
          <w:lang w:val="pt-BR"/>
        </w:rPr>
        <w:t xml:space="preserve">Dimensão (iii) do indicador </w:t>
      </w:r>
      <w:r>
        <w:rPr>
          <w:rFonts w:ascii="Arial" w:cs="Arial" w:eastAsia="Times New Roman" w:hAnsi="Arial"/>
          <w:b/>
          <w:bCs/>
          <w:sz w:val="24"/>
          <w:szCs w:val="24"/>
          <w:lang w:val="pt-BR"/>
        </w:rPr>
        <w:t>QATC</w:t>
      </w:r>
      <w:r>
        <w:rPr>
          <w:rFonts w:ascii="Arial" w:cs="Arial" w:eastAsia="Times New Roman" w:hAnsi="Arial"/>
          <w:b/>
          <w:bCs/>
          <w:i/>
          <w:iCs/>
          <w:sz w:val="24"/>
          <w:szCs w:val="24"/>
          <w:lang w:val="pt-BR"/>
        </w:rPr>
        <w:t>-18 Fundamentos da Auditoria de Conformidade</w:t>
      </w:r>
    </w:p>
    <w:p>
      <w:pPr>
        <w:pStyle w:val="style74"/>
        <w:numPr>
          <w:ilvl w:val="0"/>
          <w:numId w:val="3"/>
        </w:numPr>
        <w:spacing w:after="0" w:before="0"/>
        <w:contextualSpacing/>
        <w:jc w:val="both"/>
        <w:rPr>
          <w:rFonts w:ascii="Arial" w:cs="Arial" w:hAnsi="Arial"/>
          <w:sz w:val="24"/>
          <w:szCs w:val="24"/>
          <w:lang w:val="pt-BR"/>
        </w:rPr>
      </w:pPr>
      <w:r>
        <w:rPr>
          <w:rFonts w:ascii="Arial" w:cs="Arial" w:hAnsi="Arial"/>
          <w:sz w:val="24"/>
          <w:szCs w:val="24"/>
          <w:lang w:val="pt-BR"/>
        </w:rPr>
        <w:t>Posteriormente, atribua uma pontuação para o indicador por completo. Para este exercício, as pontuações para as dimensões (i), (ii) e (iv) do indicador QATC-18</w:t>
      </w:r>
      <w:r>
        <w:rPr>
          <w:rFonts w:ascii="Arial" w:cs="Arial" w:hAnsi="Arial"/>
          <w:i/>
          <w:sz w:val="24"/>
          <w:szCs w:val="24"/>
          <w:lang w:val="pt-BR"/>
        </w:rPr>
        <w:t xml:space="preserve"> Fundamentos da Auditoria de Conformidade</w:t>
      </w:r>
      <w:r>
        <w:rPr>
          <w:rFonts w:ascii="Arial" w:cs="Arial" w:hAnsi="Arial"/>
          <w:sz w:val="24"/>
          <w:szCs w:val="24"/>
          <w:lang w:val="pt-BR"/>
        </w:rPr>
        <w:t xml:space="preserve"> são 0, 2 e 1, respectivamente. </w:t>
      </w:r>
    </w:p>
    <w:p>
      <w:pPr>
        <w:pStyle w:val="style74"/>
        <w:spacing w:after="0" w:before="0"/>
        <w:contextualSpacing/>
        <w:jc w:val="both"/>
        <w:rPr>
          <w:rFonts w:ascii="Arial" w:cs="Arial" w:hAnsi="Arial"/>
          <w:sz w:val="24"/>
          <w:szCs w:val="24"/>
          <w:lang w:val="pt-BR"/>
        </w:rPr>
      </w:pPr>
      <w:r>
        <w:rPr>
          <w:rFonts w:ascii="Arial" w:cs="Arial" w:hAnsi="Arial"/>
          <w:sz w:val="24"/>
          <w:szCs w:val="24"/>
          <w:lang w:val="pt-BR"/>
        </w:rPr>
      </w:r>
    </w:p>
    <w:p>
      <w:pPr>
        <w:pStyle w:val="style74"/>
        <w:numPr>
          <w:ilvl w:val="0"/>
          <w:numId w:val="3"/>
        </w:numPr>
        <w:spacing w:after="0" w:before="0"/>
        <w:contextualSpacing/>
        <w:jc w:val="both"/>
        <w:rPr>
          <w:rFonts w:ascii="Arial" w:cs="Arial" w:eastAsia="Times New Roman" w:hAnsi="Arial"/>
          <w:b/>
          <w:bCs/>
          <w:i/>
          <w:iCs/>
          <w:sz w:val="24"/>
          <w:szCs w:val="24"/>
          <w:lang w:val="pt-BR"/>
        </w:rPr>
      </w:pPr>
      <w:r>
        <w:rPr>
          <w:rFonts w:ascii="Arial" w:cs="Arial" w:eastAsia="Times New Roman" w:hAnsi="Arial"/>
          <w:sz w:val="24"/>
          <w:szCs w:val="24"/>
          <w:lang w:val="pt-BR"/>
        </w:rPr>
        <w:t xml:space="preserve">Dimensão (iii) do indicador </w:t>
      </w:r>
      <w:r>
        <w:rPr>
          <w:rFonts w:ascii="Arial" w:cs="Arial" w:eastAsia="Times New Roman" w:hAnsi="Arial"/>
          <w:b/>
          <w:bCs/>
          <w:sz w:val="24"/>
          <w:szCs w:val="24"/>
          <w:lang w:val="pt-BR"/>
        </w:rPr>
        <w:t>QATC</w:t>
      </w:r>
      <w:r>
        <w:rPr>
          <w:rFonts w:ascii="Arial" w:cs="Arial" w:eastAsia="Times New Roman" w:hAnsi="Arial"/>
          <w:b/>
          <w:bCs/>
          <w:i/>
          <w:iCs/>
          <w:sz w:val="24"/>
          <w:szCs w:val="24"/>
          <w:lang w:val="pt-BR"/>
        </w:rPr>
        <w:t>-19</w:t>
      </w:r>
      <w:r>
        <w:rPr>
          <w:rFonts w:ascii="Arial" w:cs="Arial" w:eastAsia="Times New Roman" w:hAnsi="Arial"/>
          <w:b/>
          <w:bCs/>
          <w:sz w:val="24"/>
          <w:szCs w:val="24"/>
          <w:lang w:val="pt-BR"/>
        </w:rPr>
        <w:t xml:space="preserve"> </w:t>
      </w:r>
      <w:r>
        <w:rPr>
          <w:rFonts w:ascii="Arial" w:cs="Arial" w:eastAsia="Times New Roman" w:hAnsi="Arial"/>
          <w:b/>
          <w:bCs/>
          <w:i/>
          <w:iCs/>
          <w:sz w:val="24"/>
          <w:szCs w:val="24"/>
          <w:lang w:val="pt-BR"/>
        </w:rPr>
        <w:t>Processo de Auditoria de Conformidade</w:t>
      </w:r>
    </w:p>
    <w:p>
      <w:pPr>
        <w:pStyle w:val="style74"/>
        <w:numPr>
          <w:ilvl w:val="0"/>
          <w:numId w:val="3"/>
        </w:numPr>
        <w:spacing w:after="0" w:before="0"/>
        <w:contextualSpacing/>
        <w:jc w:val="both"/>
        <w:rPr>
          <w:rFonts w:ascii="Arial" w:cs="Arial" w:hAnsi="Arial"/>
          <w:sz w:val="24"/>
          <w:szCs w:val="24"/>
          <w:lang w:val="pt-BR"/>
        </w:rPr>
      </w:pPr>
      <w:r>
        <w:rPr>
          <w:rFonts w:ascii="Arial" w:cs="Arial" w:hAnsi="Arial"/>
          <w:sz w:val="24"/>
          <w:szCs w:val="24"/>
          <w:lang w:val="pt-BR"/>
        </w:rPr>
        <w:t>Posteriormente, atribua uma pontuação para o indicador por completo. Para este exercício, as pontuações para as dimensões (i) e (ii) do indicador QATC</w:t>
      </w:r>
      <w:r>
        <w:rPr>
          <w:rFonts w:ascii="Arial" w:cs="Arial" w:hAnsi="Arial"/>
          <w:i/>
          <w:iCs/>
          <w:sz w:val="24"/>
          <w:szCs w:val="24"/>
          <w:lang w:val="pt-BR"/>
        </w:rPr>
        <w:t>-19</w:t>
      </w:r>
      <w:r>
        <w:rPr>
          <w:rFonts w:ascii="Arial" w:cs="Arial" w:hAnsi="Arial"/>
          <w:sz w:val="24"/>
          <w:szCs w:val="24"/>
          <w:lang w:val="pt-BR"/>
        </w:rPr>
        <w:t xml:space="preserve"> </w:t>
      </w:r>
      <w:r>
        <w:rPr>
          <w:rFonts w:ascii="Arial" w:cs="Arial" w:hAnsi="Arial"/>
          <w:i/>
          <w:iCs/>
          <w:sz w:val="24"/>
          <w:szCs w:val="24"/>
          <w:lang w:val="pt-BR"/>
        </w:rPr>
        <w:t>Processo de Auditoria de Conformidade</w:t>
      </w:r>
      <w:r>
        <w:rPr>
          <w:rFonts w:ascii="Arial" w:cs="Arial" w:hAnsi="Arial"/>
          <w:sz w:val="24"/>
          <w:szCs w:val="24"/>
          <w:lang w:val="pt-BR"/>
        </w:rPr>
        <w:t xml:space="preserve"> são 1 e 2, respectivamente. </w:t>
      </w:r>
    </w:p>
    <w:p>
      <w:pPr>
        <w:pStyle w:val="style0"/>
        <w:spacing w:after="0" w:before="0"/>
        <w:contextualSpacing w:val="false"/>
        <w:jc w:val="both"/>
        <w:rPr>
          <w:rFonts w:ascii="Arial" w:cs="Arial" w:hAnsi="Arial"/>
          <w:sz w:val="24"/>
          <w:szCs w:val="24"/>
          <w:lang w:val="pt-BR"/>
        </w:rPr>
      </w:pPr>
      <w:r>
        <w:rPr>
          <w:rFonts w:ascii="Arial" w:cs="Arial" w:hAnsi="Arial"/>
          <w:sz w:val="24"/>
          <w:szCs w:val="24"/>
          <w:lang w:val="pt-BR"/>
        </w:rPr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4"/>
          <w:szCs w:val="24"/>
          <w:lang w:val="pt-BR"/>
        </w:rPr>
      </w:pPr>
      <w:r>
        <w:rPr>
          <w:rFonts w:ascii="Arial" w:cs="Arial" w:hAnsi="Arial"/>
          <w:sz w:val="24"/>
          <w:szCs w:val="24"/>
          <w:lang w:val="pt-BR"/>
        </w:rPr>
        <w:t>As auditorias de conformidade constituem a maior parte dos trabalhos do Tribunal e</w:t>
      </w:r>
      <w:r>
        <w:rPr>
          <w:rFonts w:ascii="Arial" w:cs="Arial" w:hAnsi="Arial"/>
          <w:color w:val="FF3333"/>
          <w:sz w:val="24"/>
          <w:szCs w:val="24"/>
          <w:lang w:val="pt-BR"/>
        </w:rPr>
        <w:t xml:space="preserve"> </w:t>
      </w:r>
      <w:r>
        <w:rPr>
          <w:rFonts w:ascii="Arial" w:cs="Arial" w:hAnsi="Arial"/>
          <w:color w:val="FF3333"/>
          <w:sz w:val="24"/>
          <w:szCs w:val="24"/>
          <w:vertAlign w:val="superscript"/>
          <w:lang w:val="pt-BR"/>
        </w:rPr>
        <w:t>linha 1</w:t>
      </w:r>
      <w:r>
        <w:rPr>
          <w:rFonts w:ascii="Arial" w:cs="Arial" w:hAnsi="Arial"/>
          <w:sz w:val="24"/>
          <w:szCs w:val="24"/>
          <w:lang w:val="pt-BR"/>
        </w:rPr>
        <w:t xml:space="preserve"> objetivam verificar a regularidade e a adequação das ações públicas e sua conformidade com as leis, regulamentos, políticas, procedimentos e diretrizes administrativas. 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4"/>
          <w:szCs w:val="24"/>
          <w:lang w:val="pt-BR"/>
        </w:rPr>
      </w:pPr>
      <w:r>
        <w:rPr>
          <w:rFonts w:ascii="Arial" w:cs="Arial" w:hAnsi="Arial"/>
          <w:sz w:val="24"/>
          <w:szCs w:val="24"/>
          <w:lang w:val="pt-BR"/>
        </w:rPr>
        <w:t xml:space="preserve">Um grande desafio para o TC é a ausência ou insuficiência de evidências documentais auditáveis. Em alguns casos, a evidência não é passível de testes, é de baixa qualidade, ou não é nem mesmo encontrada na entidade fiscalizada. 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color w:val="FF3333"/>
          <w:sz w:val="24"/>
          <w:szCs w:val="24"/>
          <w:vertAlign w:val="superscript"/>
          <w:lang w:val="pt-BR"/>
        </w:rPr>
      </w:pPr>
      <w:r>
        <w:rPr>
          <w:rFonts w:ascii="Arial" w:cs="Arial" w:hAnsi="Arial"/>
          <w:sz w:val="24"/>
          <w:szCs w:val="24"/>
          <w:lang w:val="pt-BR"/>
        </w:rPr>
        <w:t xml:space="preserve">Dentre os cinco arquivos de auditoria revisados pela equipe do MMD-TC, três demonstraram que a minuta do plano de auditoria, os documentos de trabalho e as ações da equipe haviam sido submetidos a revisão. </w:t>
      </w:r>
      <w:r>
        <w:rPr>
          <w:rFonts w:ascii="Arial" w:cs="Arial" w:hAnsi="Arial"/>
          <w:color w:val="FF3333"/>
          <w:sz w:val="24"/>
          <w:szCs w:val="24"/>
          <w:lang w:val="pt-BR"/>
        </w:rPr>
        <w:t xml:space="preserve"> </w:t>
      </w:r>
      <w:r>
        <w:rPr>
          <w:rFonts w:ascii="Arial" w:cs="Arial" w:hAnsi="Arial"/>
          <w:color w:val="FF3333"/>
          <w:sz w:val="24"/>
          <w:szCs w:val="24"/>
          <w:vertAlign w:val="superscript"/>
          <w:lang w:val="pt-BR"/>
        </w:rPr>
        <w:t>linha 10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color w:val="FF3333"/>
          <w:sz w:val="24"/>
          <w:szCs w:val="24"/>
          <w:vertAlign w:val="superscript"/>
          <w:lang w:val="pt-BR"/>
        </w:rPr>
      </w:pPr>
      <w:r>
        <w:rPr>
          <w:rFonts w:ascii="Arial" w:cs="Arial" w:hAnsi="Arial"/>
          <w:sz w:val="24"/>
          <w:szCs w:val="24"/>
          <w:lang w:val="pt-BR"/>
        </w:rPr>
        <w:t>Todos os relatórios de auditoria foram homologados e emitidos de acordo com os dispositivos legais. A gerência não havia realizado um monitoramento regular da auditoria. Devido ao tamanho da organização e à pouca idade da maior parte dos auditores, as equipes nem sempre possuem um entendimento adequado da base legal, do escopo e dos critérios da auditoria. A supervisão e o treinamento são processos difíceis, uma vez que o Tribunal não possui muitos servidores experientes. Ao deparar com questões mais complexas, a equipe de auditoria consultou os servidores mais graduados. Houve registro de diferenças de opinião na documentação da auditoria.</w:t>
      </w:r>
      <w:r>
        <w:rPr>
          <w:rFonts w:ascii="Arial" w:cs="Arial" w:hAnsi="Arial"/>
          <w:color w:val="FF3333"/>
          <w:sz w:val="24"/>
          <w:szCs w:val="24"/>
          <w:vertAlign w:val="superscript"/>
          <w:lang w:val="pt-BR"/>
        </w:rPr>
        <w:t>linha 18</w:t>
      </w:r>
      <w:r>
        <w:rPr>
          <w:rFonts w:ascii="Arial" w:cs="Arial" w:hAnsi="Arial"/>
          <w:sz w:val="24"/>
          <w:szCs w:val="24"/>
          <w:lang w:val="pt-BR"/>
        </w:rPr>
        <w:t xml:space="preserve"> </w:t>
      </w:r>
      <w:bookmarkStart w:id="0" w:name="__DdeLink__16769_1750760326"/>
      <w:r>
        <w:rPr>
          <w:rFonts w:ascii="Arial" w:cs="Arial" w:hAnsi="Arial"/>
          <w:sz w:val="24"/>
          <w:szCs w:val="24"/>
          <w:lang w:val="pt-BR"/>
        </w:rPr>
        <w:t xml:space="preserve">Atualmente, o TC esta elaborando uma estratégia para o controle de qualidade das </w:t>
      </w:r>
      <w:bookmarkEnd w:id="0"/>
      <w:r>
        <w:rPr>
          <w:rFonts w:ascii="Arial" w:cs="Arial" w:hAnsi="Arial"/>
          <w:sz w:val="24"/>
          <w:szCs w:val="24"/>
          <w:lang w:val="pt-BR"/>
        </w:rPr>
        <w:t xml:space="preserve">auditorias. </w:t>
      </w:r>
      <w:r>
        <w:rPr>
          <w:rFonts w:ascii="Arial" w:cs="Arial" w:hAnsi="Arial"/>
          <w:color w:val="FF3333"/>
          <w:sz w:val="24"/>
          <w:szCs w:val="24"/>
          <w:vertAlign w:val="superscript"/>
          <w:lang w:val="pt-BR"/>
        </w:rPr>
        <w:t>linha 20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4"/>
          <w:szCs w:val="24"/>
          <w:lang w:val="pt-BR"/>
        </w:rPr>
      </w:pPr>
      <w:r>
        <w:rPr>
          <w:rFonts w:ascii="Arial" w:cs="Arial" w:hAnsi="Arial"/>
          <w:sz w:val="24"/>
          <w:szCs w:val="24"/>
          <w:lang w:val="pt-BR"/>
        </w:rPr>
      </w:r>
    </w:p>
    <w:p>
      <w:pPr>
        <w:pStyle w:val="style0"/>
        <w:spacing w:after="120" w:before="0"/>
        <w:contextualSpacing w:val="false"/>
        <w:jc w:val="both"/>
        <w:rPr>
          <w:rFonts w:ascii="Arial" w:cs="Arial" w:eastAsia="Times New Roman" w:hAnsi="Arial"/>
          <w:sz w:val="24"/>
          <w:szCs w:val="24"/>
          <w:lang w:val="pt-BR"/>
        </w:rPr>
      </w:pPr>
      <w:r>
        <w:rPr>
          <w:rFonts w:ascii="Arial" w:cs="Arial" w:eastAsia="Times New Roman" w:hAnsi="Arial"/>
          <w:sz w:val="24"/>
          <w:szCs w:val="24"/>
          <w:lang w:val="pt-BR"/>
        </w:rPr>
        <w:t>Ao analisar os arquivos da auditoria de conformidade, verificou-se que:</w:t>
      </w:r>
    </w:p>
    <w:p>
      <w:pPr>
        <w:pStyle w:val="style74"/>
        <w:numPr>
          <w:ilvl w:val="0"/>
          <w:numId w:val="2"/>
        </w:numPr>
        <w:spacing w:after="120" w:before="0"/>
        <w:contextualSpacing/>
        <w:jc w:val="both"/>
        <w:rPr>
          <w:rFonts w:ascii="Arial" w:cs="Arial" w:eastAsia="Times New Roman" w:hAnsi="Arial"/>
          <w:sz w:val="24"/>
          <w:szCs w:val="24"/>
          <w:lang w:val="pt-BR"/>
        </w:rPr>
      </w:pPr>
      <w:r>
        <w:rPr>
          <w:rFonts w:ascii="Arial" w:cs="Arial" w:eastAsia="Times New Roman" w:hAnsi="Arial"/>
          <w:sz w:val="24"/>
          <w:szCs w:val="24"/>
          <w:lang w:val="pt-BR"/>
        </w:rPr>
        <w:t xml:space="preserve">Os relatórios nem sempre especificavam o escopo geral e os critérios da auditoria em questão. </w:t>
      </w:r>
    </w:p>
    <w:p>
      <w:pPr>
        <w:pStyle w:val="style74"/>
        <w:numPr>
          <w:ilvl w:val="0"/>
          <w:numId w:val="1"/>
        </w:numPr>
        <w:spacing w:after="120" w:before="0"/>
        <w:contextualSpacing/>
        <w:jc w:val="both"/>
        <w:rPr>
          <w:rFonts w:ascii="Arial" w:cs="Arial" w:eastAsia="Times New Roman" w:hAnsi="Arial"/>
          <w:sz w:val="24"/>
          <w:szCs w:val="24"/>
          <w:lang w:val="pt-BR"/>
        </w:rPr>
      </w:pPr>
      <w:r>
        <w:rPr>
          <w:rFonts w:ascii="Arial" w:cs="Arial" w:eastAsia="Times New Roman" w:hAnsi="Arial"/>
          <w:sz w:val="24"/>
          <w:szCs w:val="24"/>
          <w:lang w:val="pt-BR"/>
        </w:rPr>
        <w:t xml:space="preserve">Os relatórios de estudos preliminares não eram consistentes. </w:t>
      </w:r>
    </w:p>
    <w:p>
      <w:pPr>
        <w:pStyle w:val="style74"/>
        <w:numPr>
          <w:ilvl w:val="0"/>
          <w:numId w:val="1"/>
        </w:numPr>
        <w:spacing w:after="120" w:before="0"/>
        <w:contextualSpacing/>
        <w:jc w:val="both"/>
        <w:rPr>
          <w:rFonts w:ascii="Arial" w:cs="Arial" w:eastAsia="Times New Roman" w:hAnsi="Arial"/>
          <w:sz w:val="24"/>
          <w:szCs w:val="24"/>
          <w:lang w:val="pt-BR"/>
        </w:rPr>
      </w:pPr>
      <w:r>
        <w:rPr>
          <w:rFonts w:ascii="Arial" w:cs="Arial" w:eastAsia="Times New Roman" w:hAnsi="Arial"/>
          <w:sz w:val="24"/>
          <w:szCs w:val="24"/>
          <w:lang w:val="pt-BR"/>
        </w:rPr>
        <w:t xml:space="preserve">Os papéis de trabalho das auditorias examinadas (concluídas) eram insuficientes de modo geral, sendo alguns deles elaborados após o encerramento do relatório, e não forneciam evidências de uma boa comunicação com a entidade fiscalizada durante o processo de auditoria, e </w:t>
      </w:r>
    </w:p>
    <w:p>
      <w:pPr>
        <w:pStyle w:val="style74"/>
        <w:numPr>
          <w:ilvl w:val="0"/>
          <w:numId w:val="1"/>
        </w:numPr>
        <w:spacing w:after="120" w:before="0"/>
        <w:contextualSpacing/>
        <w:jc w:val="both"/>
        <w:rPr>
          <w:rFonts w:ascii="Arial" w:cs="Arial" w:eastAsia="Times New Roman" w:hAnsi="Arial"/>
          <w:color w:val="FF3333"/>
          <w:sz w:val="24"/>
          <w:szCs w:val="24"/>
          <w:vertAlign w:val="superscript"/>
          <w:lang w:val="pt-BR"/>
        </w:rPr>
      </w:pPr>
      <w:r>
        <w:rPr>
          <w:rFonts w:ascii="Arial" w:cs="Arial" w:eastAsia="Times New Roman" w:hAnsi="Arial"/>
          <w:sz w:val="24"/>
          <w:szCs w:val="24"/>
          <w:lang w:val="pt-BR"/>
        </w:rPr>
        <w:t xml:space="preserve">Não havia um processo baseado em risco para a seleção das auditorias de conformidade. </w:t>
      </w:r>
      <w:r>
        <w:rPr>
          <w:rFonts w:ascii="Arial" w:cs="Arial" w:eastAsia="Times New Roman" w:hAnsi="Arial"/>
          <w:color w:val="FF3333"/>
          <w:sz w:val="24"/>
          <w:szCs w:val="24"/>
          <w:vertAlign w:val="superscript"/>
          <w:lang w:val="pt-BR"/>
        </w:rPr>
        <w:t>Linha 30</w:t>
      </w:r>
    </w:p>
    <w:p>
      <w:pPr>
        <w:pStyle w:val="style74"/>
        <w:numPr>
          <w:ilvl w:val="0"/>
          <w:numId w:val="1"/>
        </w:numPr>
        <w:spacing w:after="120" w:before="0"/>
        <w:contextualSpacing/>
        <w:jc w:val="both"/>
        <w:rPr>
          <w:rFonts w:ascii="Arial" w:cs="Arial" w:eastAsia="Times New Roman" w:hAnsi="Arial"/>
          <w:sz w:val="24"/>
          <w:szCs w:val="24"/>
          <w:lang w:val="pt-BR"/>
        </w:rPr>
      </w:pPr>
      <w:r>
        <w:rPr>
          <w:rFonts w:ascii="Arial" w:cs="Arial" w:eastAsia="Times New Roman" w:hAnsi="Arial"/>
          <w:sz w:val="24"/>
          <w:szCs w:val="24"/>
          <w:lang w:val="pt-BR"/>
        </w:rPr>
        <w:t>Não existiam indícios de que os auditores responsáveis haviam avaliado se as evidências de auditoria eram suficientes e adequadas para a formulação de conclusões relevantes.</w:t>
      </w:r>
    </w:p>
    <w:p>
      <w:pPr>
        <w:pStyle w:val="style74"/>
        <w:numPr>
          <w:ilvl w:val="0"/>
          <w:numId w:val="1"/>
        </w:numPr>
        <w:spacing w:after="120" w:before="0"/>
        <w:contextualSpacing/>
        <w:jc w:val="both"/>
        <w:rPr>
          <w:rFonts w:ascii="Arial" w:cs="Arial" w:eastAsia="Times New Roman" w:hAnsi="Arial"/>
          <w:color w:val="FF3333"/>
          <w:sz w:val="24"/>
          <w:szCs w:val="24"/>
          <w:vertAlign w:val="superscript"/>
          <w:lang w:val="pt-BR"/>
        </w:rPr>
      </w:pPr>
      <w:r>
        <w:rPr>
          <w:rFonts w:ascii="Arial" w:cs="Arial" w:eastAsia="Times New Roman" w:hAnsi="Arial"/>
          <w:sz w:val="24"/>
          <w:szCs w:val="24"/>
          <w:lang w:val="pt-BR"/>
        </w:rPr>
        <w:t xml:space="preserve">Os achados foram submetidos a comentários da entidade fiscalizada e houve registro de respostas. </w:t>
      </w:r>
      <w:r>
        <w:rPr>
          <w:rFonts w:ascii="Arial" w:cs="Arial" w:eastAsia="Times New Roman" w:hAnsi="Arial"/>
          <w:color w:val="FF3333"/>
          <w:sz w:val="24"/>
          <w:szCs w:val="24"/>
          <w:lang w:val="pt-BR"/>
        </w:rPr>
        <w:t xml:space="preserve"> </w:t>
      </w:r>
      <w:r>
        <w:rPr>
          <w:rFonts w:ascii="Arial" w:cs="Arial" w:eastAsia="Times New Roman" w:hAnsi="Arial"/>
          <w:color w:val="FF3333"/>
          <w:sz w:val="24"/>
          <w:szCs w:val="24"/>
          <w:vertAlign w:val="superscript"/>
          <w:lang w:val="pt-BR"/>
        </w:rPr>
        <w:t>linha 35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color w:val="FF3333"/>
          <w:sz w:val="24"/>
          <w:szCs w:val="24"/>
          <w:vertAlign w:val="superscript"/>
          <w:lang w:val="pt-BR"/>
        </w:rPr>
      </w:pPr>
      <w:r>
        <w:rPr>
          <w:rFonts w:ascii="Arial" w:cs="Arial" w:hAnsi="Arial"/>
          <w:sz w:val="24"/>
          <w:szCs w:val="24"/>
          <w:lang w:val="pt-BR"/>
        </w:rPr>
        <w:t xml:space="preserve">A redação dos achados nem sempre é clara. Os leitores precisam deduzir qual é o tipo de auditoria em questão com base na revisão do documento. Quatro entre os cinco relatórios consultados não forneceram conclusões sobre os resultados da auditoria, e nem sempre há uma linha de raciocínio lógica entre as recomendações feitas pelo auditor e as observações realizadas. Mesmo quando há uma ligação lógica, as recomendações são vagas, não oferecem uma conclusão, e tampouco estão inseridas no contexto da entidade fiscalizada. Consequentemente, nem sempre são facilmente compreendidas pelos jurisdicionados. No futuro, as diretrizes metodológicas de auditoria que estão sendo preparadas pelo TC ajudarão a esclarecer certos aspectos relativos ao conteúdo e à estrutura dos relatórios de auditoria. </w:t>
      </w:r>
      <w:r>
        <w:rPr>
          <w:rFonts w:ascii="Arial" w:cs="Arial" w:hAnsi="Arial"/>
          <w:color w:val="FF3333"/>
          <w:sz w:val="24"/>
          <w:szCs w:val="24"/>
          <w:vertAlign w:val="superscript"/>
          <w:lang w:val="pt-BR"/>
        </w:rPr>
        <w:t>linha 45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4"/>
          <w:szCs w:val="24"/>
          <w:lang w:val="pt-BR"/>
        </w:rPr>
      </w:pPr>
      <w:r>
        <w:rPr>
          <w:rFonts w:ascii="Arial" w:cs="Arial" w:hAnsi="Arial"/>
          <w:sz w:val="24"/>
          <w:szCs w:val="24"/>
          <w:lang w:val="pt-BR"/>
        </w:rPr>
        <w:t xml:space="preserve">As auditorias não foram finalizadas a tempo. Nenhuma das cinco auditorias analisadas cumpriu o prazo estabelecido. Apesar do prazo delimitado para a realização das auditorias selecionadas ter sido de 4 a 6 meses, foram necessários 18 meses de trabalho para concluir o processo. 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4"/>
          <w:szCs w:val="24"/>
          <w:lang w:val="pt-BR"/>
        </w:rPr>
      </w:pPr>
      <w:r>
        <w:rPr>
          <w:rFonts w:ascii="Arial" w:cs="Arial" w:hAnsi="Arial"/>
          <w:sz w:val="24"/>
          <w:szCs w:val="24"/>
          <w:lang w:val="pt-BR"/>
        </w:rPr>
        <w:t>Não foi identificado normativo que regulamente o prazo de guarda da documentação da auditoria.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4"/>
          <w:szCs w:val="24"/>
          <w:lang w:val="pt-BR"/>
        </w:rPr>
      </w:pPr>
      <w:r>
        <w:rPr>
          <w:rFonts w:ascii="Arial" w:cs="Arial" w:hAnsi="Arial"/>
          <w:sz w:val="24"/>
          <w:szCs w:val="24"/>
          <w:lang w:val="pt-BR"/>
        </w:rPr>
      </w:r>
    </w:p>
    <w:p>
      <w:pPr>
        <w:pStyle w:val="style0"/>
        <w:spacing w:after="120" w:before="0"/>
        <w:contextualSpacing w:val="false"/>
        <w:jc w:val="both"/>
        <w:rPr/>
      </w:pPr>
      <w:r>
        <w:rPr/>
      </w:r>
    </w:p>
    <w:sectPr>
      <w:footerReference r:id="rId2" w:type="default"/>
      <w:type w:val="nextPage"/>
      <w:pgSz w:h="15840" w:w="12240"/>
      <w:pgMar w:bottom="1417" w:footer="708" w:gutter="0" w:header="0" w:left="1417" w:right="1417" w:top="426"/>
      <w:pgNumType w:fmt="decimal"/>
      <w:formProt w:val="false"/>
      <w:textDirection w:val="lrTb"/>
      <w:docGrid w:charSpace="983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76"/>
      <w:rPr>
        <w:rFonts w:ascii="Georgia" w:hAnsi="Georgia"/>
      </w:rPr>
    </w:pPr>
    <w:r>
      <w:rPr>
        <w:rFonts w:ascii="Georgia" w:hAnsi="Georgia"/>
      </w:rPr>
      <w:tab/>
      <w:tab/>
    </w:r>
    <w:r>
      <w:rPr>
        <w:rFonts w:ascii="Georgia" w:hAnsi="Georgia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76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n-US"/>
    </w:rPr>
  </w:style>
  <w:style w:styleId="style3" w:type="paragraph">
    <w:name w:val="Título 3"/>
    <w:basedOn w:val="style0"/>
    <w:next w:val="style3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  <w:lang w:eastAsia="en-GB" w:val="en-GB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annotation reference"/>
    <w:basedOn w:val="style15"/>
    <w:next w:val="style18"/>
    <w:rPr>
      <w:sz w:val="16"/>
      <w:szCs w:val="16"/>
    </w:rPr>
  </w:style>
  <w:style w:styleId="style19" w:type="character">
    <w:name w:val="Texto de comentário Char"/>
    <w:basedOn w:val="style15"/>
    <w:next w:val="style19"/>
    <w:rPr>
      <w:sz w:val="20"/>
      <w:szCs w:val="20"/>
    </w:rPr>
  </w:style>
  <w:style w:styleId="style20" w:type="character">
    <w:name w:val="Assunto do comentário Char"/>
    <w:basedOn w:val="style19"/>
    <w:next w:val="style20"/>
    <w:rPr>
      <w:b/>
      <w:bCs/>
      <w:sz w:val="20"/>
      <w:szCs w:val="20"/>
    </w:rPr>
  </w:style>
  <w:style w:styleId="style21" w:type="character">
    <w:name w:val="Texto de balão Char"/>
    <w:basedOn w:val="style15"/>
    <w:next w:val="style21"/>
    <w:rPr>
      <w:rFonts w:ascii="Tahoma" w:cs="Tahoma" w:hAnsi="Tahoma"/>
      <w:sz w:val="16"/>
      <w:szCs w:val="16"/>
    </w:rPr>
  </w:style>
  <w:style w:styleId="style22" w:type="character">
    <w:name w:val="Título 3 Char"/>
    <w:basedOn w:val="style15"/>
    <w:next w:val="style22"/>
    <w:rPr>
      <w:rFonts w:ascii="Cambria" w:cs="" w:hAnsi="Cambria"/>
      <w:b/>
      <w:bCs/>
      <w:color w:val="4F81BD"/>
      <w:lang w:eastAsia="en-GB" w:val="en-GB"/>
    </w:rPr>
  </w:style>
  <w:style w:styleId="style23" w:type="character">
    <w:name w:val="Texto de nota de rodapé Char"/>
    <w:basedOn w:val="style15"/>
    <w:next w:val="style23"/>
    <w:rPr>
      <w:sz w:val="20"/>
      <w:szCs w:val="20"/>
      <w:lang w:bidi="en-US"/>
    </w:rPr>
  </w:style>
  <w:style w:styleId="style24" w:type="character">
    <w:name w:val="footnote reference"/>
    <w:basedOn w:val="style15"/>
    <w:next w:val="style24"/>
    <w:rPr>
      <w:vertAlign w:val="superscript"/>
    </w:rPr>
  </w:style>
  <w:style w:styleId="style25" w:type="character">
    <w:name w:val="Mapa do Documento Char"/>
    <w:basedOn w:val="style15"/>
    <w:next w:val="style25"/>
    <w:rPr>
      <w:rFonts w:ascii="Tahoma" w:cs="Tahoma" w:hAnsi="Tahoma"/>
      <w:sz w:val="16"/>
      <w:szCs w:val="16"/>
    </w:rPr>
  </w:style>
  <w:style w:styleId="style26" w:type="character">
    <w:name w:val="ListLabel 1"/>
    <w:next w:val="style26"/>
    <w:rPr>
      <w:rFonts w:eastAsia="Calibri"/>
    </w:rPr>
  </w:style>
  <w:style w:styleId="style27" w:type="character">
    <w:name w:val="ListLabel 2"/>
    <w:next w:val="style27"/>
    <w:rPr>
      <w:b w:val="false"/>
    </w:rPr>
  </w:style>
  <w:style w:styleId="style28" w:type="character">
    <w:name w:val="ListLabel 3"/>
    <w:next w:val="style28"/>
    <w:rPr>
      <w:rFonts w:cs="Courier New"/>
    </w:rPr>
  </w:style>
  <w:style w:styleId="style29" w:type="character">
    <w:name w:val="ListLabel 4"/>
    <w:next w:val="style29"/>
    <w:rPr/>
  </w:style>
  <w:style w:styleId="style30" w:type="character">
    <w:name w:val="ListLabel 5"/>
    <w:next w:val="style30"/>
    <w:rPr>
      <w:rFonts w:cs="Symbol"/>
    </w:rPr>
  </w:style>
  <w:style w:styleId="style31" w:type="character">
    <w:name w:val="ListLabel 6"/>
    <w:next w:val="style31"/>
    <w:rPr>
      <w:rFonts w:cs="Courier New"/>
    </w:rPr>
  </w:style>
  <w:style w:styleId="style32" w:type="character">
    <w:name w:val="ListLabel 7"/>
    <w:next w:val="style32"/>
    <w:rPr>
      <w:rFonts w:cs="Wingdings"/>
    </w:rPr>
  </w:style>
  <w:style w:styleId="style33" w:type="character">
    <w:name w:val="ListLabel 8"/>
    <w:next w:val="style33"/>
    <w:rPr>
      <w:rFonts w:cs="Calibri"/>
    </w:rPr>
  </w:style>
  <w:style w:styleId="style34" w:type="character">
    <w:name w:val="ListLabel 9"/>
    <w:next w:val="style34"/>
    <w:rPr>
      <w:rFonts w:cs="Symbol"/>
    </w:rPr>
  </w:style>
  <w:style w:styleId="style35" w:type="character">
    <w:name w:val="ListLabel 10"/>
    <w:next w:val="style35"/>
    <w:rPr>
      <w:rFonts w:cs="Courier New"/>
    </w:rPr>
  </w:style>
  <w:style w:styleId="style36" w:type="character">
    <w:name w:val="ListLabel 11"/>
    <w:next w:val="style36"/>
    <w:rPr>
      <w:rFonts w:cs="Wingdings"/>
    </w:rPr>
  </w:style>
  <w:style w:styleId="style37" w:type="character">
    <w:name w:val="ListLabel 12"/>
    <w:next w:val="style37"/>
    <w:rPr>
      <w:rFonts w:cs="Calibri"/>
    </w:rPr>
  </w:style>
  <w:style w:styleId="style38" w:type="character">
    <w:name w:val="ListLabel 13"/>
    <w:next w:val="style38"/>
    <w:rPr>
      <w:rFonts w:cs="Calibri"/>
    </w:rPr>
  </w:style>
  <w:style w:styleId="style39" w:type="character">
    <w:name w:val="ListLabel 14"/>
    <w:next w:val="style39"/>
    <w:rPr>
      <w:rFonts w:cs="Courier New"/>
    </w:rPr>
  </w:style>
  <w:style w:styleId="style40" w:type="character">
    <w:name w:val="ListLabel 15"/>
    <w:next w:val="style40"/>
    <w:rPr>
      <w:rFonts w:cs="Wingdings"/>
    </w:rPr>
  </w:style>
  <w:style w:styleId="style41" w:type="character">
    <w:name w:val="ListLabel 16"/>
    <w:next w:val="style41"/>
    <w:rPr>
      <w:rFonts w:cs="Symbol"/>
    </w:rPr>
  </w:style>
  <w:style w:styleId="style42" w:type="character">
    <w:name w:val="ListLabel 17"/>
    <w:next w:val="style42"/>
    <w:rPr>
      <w:rFonts w:cs="Calibri"/>
    </w:rPr>
  </w:style>
  <w:style w:styleId="style43" w:type="character">
    <w:name w:val="ListLabel 18"/>
    <w:next w:val="style43"/>
    <w:rPr>
      <w:rFonts w:cs="Courier New"/>
    </w:rPr>
  </w:style>
  <w:style w:styleId="style44" w:type="character">
    <w:name w:val="ListLabel 19"/>
    <w:next w:val="style44"/>
    <w:rPr>
      <w:rFonts w:cs="Wingdings"/>
    </w:rPr>
  </w:style>
  <w:style w:styleId="style45" w:type="character">
    <w:name w:val="ListLabel 20"/>
    <w:next w:val="style45"/>
    <w:rPr>
      <w:rFonts w:cs="Symbol"/>
    </w:rPr>
  </w:style>
  <w:style w:styleId="style46" w:type="character">
    <w:name w:val="ListLabel 21"/>
    <w:next w:val="style46"/>
    <w:rPr>
      <w:rFonts w:cs="Calibri"/>
    </w:rPr>
  </w:style>
  <w:style w:styleId="style47" w:type="character">
    <w:name w:val="ListLabel 22"/>
    <w:next w:val="style47"/>
    <w:rPr>
      <w:rFonts w:cs="Courier New"/>
    </w:rPr>
  </w:style>
  <w:style w:styleId="style48" w:type="character">
    <w:name w:val="ListLabel 23"/>
    <w:next w:val="style48"/>
    <w:rPr>
      <w:rFonts w:cs="Wingdings"/>
    </w:rPr>
  </w:style>
  <w:style w:styleId="style49" w:type="character">
    <w:name w:val="ListLabel 24"/>
    <w:next w:val="style49"/>
    <w:rPr>
      <w:rFonts w:cs="Symbol"/>
    </w:rPr>
  </w:style>
  <w:style w:styleId="style50" w:type="character">
    <w:name w:val="ListLabel 25"/>
    <w:next w:val="style50"/>
    <w:rPr>
      <w:rFonts w:cs="Calibri"/>
    </w:rPr>
  </w:style>
  <w:style w:styleId="style51" w:type="character">
    <w:name w:val="ListLabel 26"/>
    <w:next w:val="style51"/>
    <w:rPr>
      <w:rFonts w:cs="Courier New"/>
    </w:rPr>
  </w:style>
  <w:style w:styleId="style52" w:type="character">
    <w:name w:val="ListLabel 27"/>
    <w:next w:val="style52"/>
    <w:rPr>
      <w:rFonts w:cs="Wingdings"/>
    </w:rPr>
  </w:style>
  <w:style w:styleId="style53" w:type="character">
    <w:name w:val="ListLabel 28"/>
    <w:next w:val="style53"/>
    <w:rPr>
      <w:rFonts w:cs="Symbol"/>
    </w:rPr>
  </w:style>
  <w:style w:styleId="style54" w:type="character">
    <w:name w:val="Marcas"/>
    <w:next w:val="style54"/>
    <w:rPr>
      <w:rFonts w:ascii="OpenSymbol" w:cs="OpenSymbol" w:eastAsia="OpenSymbol" w:hAnsi="OpenSymbol"/>
    </w:rPr>
  </w:style>
  <w:style w:styleId="style55" w:type="character">
    <w:name w:val="ListLabel 29"/>
    <w:next w:val="style55"/>
    <w:rPr>
      <w:rFonts w:cs="Calibri"/>
    </w:rPr>
  </w:style>
  <w:style w:styleId="style56" w:type="character">
    <w:name w:val="ListLabel 30"/>
    <w:next w:val="style56"/>
    <w:rPr>
      <w:rFonts w:cs="Courier New"/>
    </w:rPr>
  </w:style>
  <w:style w:styleId="style57" w:type="character">
    <w:name w:val="ListLabel 31"/>
    <w:next w:val="style57"/>
    <w:rPr>
      <w:rFonts w:cs="Wingdings"/>
    </w:rPr>
  </w:style>
  <w:style w:styleId="style58" w:type="character">
    <w:name w:val="ListLabel 32"/>
    <w:next w:val="style58"/>
    <w:rPr>
      <w:rFonts w:cs="Symbol"/>
    </w:rPr>
  </w:style>
  <w:style w:styleId="style59" w:type="character">
    <w:name w:val="ListLabel 33"/>
    <w:next w:val="style59"/>
    <w:rPr>
      <w:rFonts w:cs="Calibri"/>
    </w:rPr>
  </w:style>
  <w:style w:styleId="style60" w:type="character">
    <w:name w:val="ListLabel 34"/>
    <w:next w:val="style60"/>
    <w:rPr>
      <w:rFonts w:cs="Courier New"/>
    </w:rPr>
  </w:style>
  <w:style w:styleId="style61" w:type="character">
    <w:name w:val="ListLabel 35"/>
    <w:next w:val="style61"/>
    <w:rPr>
      <w:rFonts w:cs="Wingdings"/>
    </w:rPr>
  </w:style>
  <w:style w:styleId="style62" w:type="character">
    <w:name w:val="ListLabel 36"/>
    <w:next w:val="style62"/>
    <w:rPr>
      <w:rFonts w:cs="Symbol"/>
    </w:rPr>
  </w:style>
  <w:style w:styleId="style63" w:type="character">
    <w:name w:val="ListLabel 37"/>
    <w:next w:val="style63"/>
    <w:rPr>
      <w:rFonts w:cs="Calibri"/>
    </w:rPr>
  </w:style>
  <w:style w:styleId="style64" w:type="character">
    <w:name w:val="ListLabel 38"/>
    <w:next w:val="style64"/>
    <w:rPr>
      <w:rFonts w:cs="Courier New"/>
    </w:rPr>
  </w:style>
  <w:style w:styleId="style65" w:type="character">
    <w:name w:val="ListLabel 39"/>
    <w:next w:val="style65"/>
    <w:rPr>
      <w:rFonts w:cs="Wingdings"/>
    </w:rPr>
  </w:style>
  <w:style w:styleId="style66" w:type="character">
    <w:name w:val="ListLabel 40"/>
    <w:next w:val="style66"/>
    <w:rPr>
      <w:rFonts w:cs="Symbol"/>
    </w:rPr>
  </w:style>
  <w:style w:styleId="style67" w:type="paragraph">
    <w:name w:val="Título"/>
    <w:basedOn w:val="style0"/>
    <w:next w:val="style6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68" w:type="paragraph">
    <w:name w:val="Corpo do texto"/>
    <w:basedOn w:val="style0"/>
    <w:next w:val="style68"/>
    <w:pPr>
      <w:spacing w:after="140" w:before="0" w:line="288" w:lineRule="auto"/>
      <w:contextualSpacing w:val="false"/>
    </w:pPr>
    <w:rPr/>
  </w:style>
  <w:style w:styleId="style69" w:type="paragraph">
    <w:name w:val="Lista"/>
    <w:basedOn w:val="style68"/>
    <w:next w:val="style69"/>
    <w:pPr/>
    <w:rPr>
      <w:rFonts w:cs="Mangal"/>
    </w:rPr>
  </w:style>
  <w:style w:styleId="style70" w:type="paragraph">
    <w:name w:val="Legenda"/>
    <w:basedOn w:val="style0"/>
    <w:next w:val="style7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71" w:type="paragraph">
    <w:name w:val="Índice"/>
    <w:basedOn w:val="style0"/>
    <w:next w:val="style71"/>
    <w:pPr>
      <w:suppressLineNumbers/>
    </w:pPr>
    <w:rPr>
      <w:rFonts w:cs="Mangal"/>
    </w:rPr>
  </w:style>
  <w:style w:styleId="style72" w:type="paragraph">
    <w:name w:val="Título do documento"/>
    <w:basedOn w:val="style0"/>
    <w:next w:val="style72"/>
    <w:pPr>
      <w:keepNext/>
      <w:spacing w:after="120" w:before="240"/>
      <w:contextualSpacing w:val="false"/>
      <w:jc w:val="left"/>
    </w:pPr>
    <w:rPr>
      <w:rFonts w:ascii="Liberation Sans" w:cs="Mangal" w:eastAsia="Microsoft YaHei" w:hAnsi="Liberation Sans"/>
      <w:sz w:val="28"/>
      <w:szCs w:val="28"/>
    </w:rPr>
  </w:style>
  <w:style w:styleId="style73" w:type="paragraph">
    <w:name w:val="caption"/>
    <w:basedOn w:val="style0"/>
    <w:next w:val="style7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74" w:type="paragraph">
    <w:name w:val="List Paragraph"/>
    <w:basedOn w:val="style0"/>
    <w:next w:val="style74"/>
    <w:pPr>
      <w:spacing w:after="200" w:before="0"/>
      <w:ind w:hanging="0" w:left="720" w:right="0"/>
      <w:contextualSpacing/>
    </w:pPr>
    <w:rPr/>
  </w:style>
  <w:style w:styleId="style75" w:type="paragraph">
    <w:name w:val="Cabeçalho"/>
    <w:basedOn w:val="style0"/>
    <w:next w:val="style75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76" w:type="paragraph">
    <w:name w:val="Rodapé"/>
    <w:basedOn w:val="style0"/>
    <w:next w:val="style7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77" w:type="paragraph">
    <w:name w:val="annotation text"/>
    <w:basedOn w:val="style0"/>
    <w:next w:val="style77"/>
    <w:pPr>
      <w:spacing w:line="100" w:lineRule="atLeast"/>
    </w:pPr>
    <w:rPr>
      <w:sz w:val="20"/>
      <w:szCs w:val="20"/>
    </w:rPr>
  </w:style>
  <w:style w:styleId="style78" w:type="paragraph">
    <w:name w:val="annotation subject"/>
    <w:basedOn w:val="style77"/>
    <w:next w:val="style78"/>
    <w:pPr/>
    <w:rPr>
      <w:b/>
      <w:bCs/>
    </w:rPr>
  </w:style>
  <w:style w:styleId="style79" w:type="paragraph">
    <w:name w:val="Balloon Text"/>
    <w:basedOn w:val="style0"/>
    <w:next w:val="style7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80" w:type="paragraph">
    <w:name w:val="footnote text"/>
    <w:basedOn w:val="style0"/>
    <w:next w:val="style80"/>
    <w:pPr>
      <w:spacing w:after="0" w:before="0" w:line="100" w:lineRule="atLeast"/>
      <w:contextualSpacing w:val="false"/>
    </w:pPr>
    <w:rPr>
      <w:sz w:val="20"/>
      <w:szCs w:val="20"/>
      <w:lang w:bidi="en-US"/>
    </w:rPr>
  </w:style>
  <w:style w:styleId="style81" w:type="paragraph">
    <w:name w:val="Document Map"/>
    <w:basedOn w:val="style0"/>
    <w:next w:val="style81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2014-04-23T19:12:00Z</dcterms:created>
  <dc:creator>500000tba-adm</dc:creator>
  <dc:language>pt</dc:language>
  <cp:lastModifiedBy>Tarciana Maria de Vasconcelos</cp:lastModifiedBy>
  <cp:lastPrinted>2015-03-24T09:14:51Z</cp:lastPrinted>
  <dcterms:modified xsi:type="dcterms:W3CDTF">2015-03-19T19:31:00Z</dcterms:modified>
  <cp:revision>15</cp:revision>
</cp:coreProperties>
</file>