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B9" w:rsidRPr="00C01CB9" w:rsidRDefault="00C01CB9" w:rsidP="00C01CB9">
      <w:pPr>
        <w:pStyle w:val="Cabealho"/>
        <w:spacing w:line="276" w:lineRule="auto"/>
        <w:jc w:val="center"/>
        <w:rPr>
          <w:rFonts w:ascii="Times New Roman" w:eastAsia="SimSun" w:hAnsi="Times New Roman" w:cs="Mangal"/>
          <w:b/>
          <w:color w:val="00000A"/>
          <w:sz w:val="32"/>
          <w:szCs w:val="24"/>
          <w:lang w:eastAsia="zh-CN" w:bidi="hi-IN"/>
        </w:rPr>
      </w:pPr>
      <w:bookmarkStart w:id="0" w:name="_Toc406070569"/>
      <w:bookmarkStart w:id="1" w:name="_GoBack"/>
      <w:bookmarkEnd w:id="1"/>
      <w:r w:rsidRPr="00C01CB9">
        <w:rPr>
          <w:rFonts w:ascii="Times New Roman" w:eastAsia="SimSun" w:hAnsi="Times New Roman" w:cs="Mangal"/>
          <w:b/>
          <w:color w:val="00000A"/>
          <w:sz w:val="32"/>
          <w:szCs w:val="24"/>
          <w:lang w:eastAsia="zh-CN" w:bidi="hi-IN"/>
        </w:rPr>
        <w:t>MARCO DE MEDIÇÃO DO DESEMPENHO DOS TRIBUNAIS DE CONTAS – MMD-TC</w:t>
      </w:r>
    </w:p>
    <w:p w:rsidR="00C01CB9" w:rsidRPr="00C01CB9" w:rsidRDefault="00C01CB9" w:rsidP="00C01CB9">
      <w:pPr>
        <w:pStyle w:val="Cabealho"/>
        <w:spacing w:line="276" w:lineRule="auto"/>
        <w:jc w:val="center"/>
        <w:rPr>
          <w:rFonts w:ascii="Times New Roman" w:eastAsia="SimSun" w:hAnsi="Times New Roman" w:cs="Mangal"/>
          <w:b/>
          <w:color w:val="00000A"/>
          <w:sz w:val="32"/>
          <w:szCs w:val="24"/>
          <w:lang w:eastAsia="zh-CN" w:bidi="hi-IN"/>
        </w:rPr>
      </w:pPr>
      <w:r w:rsidRPr="00C01CB9">
        <w:rPr>
          <w:rFonts w:ascii="Times New Roman" w:eastAsia="SimSun" w:hAnsi="Times New Roman" w:cs="Mangal"/>
          <w:b/>
          <w:color w:val="00000A"/>
          <w:sz w:val="32"/>
          <w:szCs w:val="24"/>
          <w:lang w:eastAsia="zh-CN" w:bidi="hi-IN"/>
        </w:rPr>
        <w:t>PROJETO QUALIDADE E AGILIDADE DOS TRIBUNAIS DE CONTAS – QATC</w:t>
      </w:r>
    </w:p>
    <w:p w:rsidR="00C01CB9" w:rsidRPr="00C01CB9" w:rsidRDefault="00C01CB9" w:rsidP="00C01CB9">
      <w:pPr>
        <w:pStyle w:val="Ttulo3"/>
        <w:jc w:val="center"/>
        <w:rPr>
          <w:rStyle w:val="FontStyle164"/>
          <w:sz w:val="28"/>
          <w:u w:val="single"/>
        </w:rPr>
      </w:pPr>
      <w:r w:rsidRPr="00C01CB9">
        <w:rPr>
          <w:rStyle w:val="FontStyle164"/>
          <w:sz w:val="28"/>
          <w:u w:val="single"/>
        </w:rPr>
        <w:t>Exercício de Fixação</w:t>
      </w:r>
    </w:p>
    <w:p w:rsidR="00C01CB9" w:rsidRDefault="00C01CB9" w:rsidP="00C01CB9">
      <w:pPr>
        <w:pStyle w:val="Ttulo3"/>
        <w:jc w:val="both"/>
        <w:rPr>
          <w:rStyle w:val="FontStyle164"/>
          <w:sz w:val="28"/>
        </w:rPr>
      </w:pPr>
      <w:r>
        <w:rPr>
          <w:rStyle w:val="FontStyle164"/>
          <w:sz w:val="28"/>
        </w:rPr>
        <w:t>1) Calcule a pontuação de cada uma das dimensões e do indicador, levando em conta os dados do seu Tribunal (pontuação de 0 a 4).</w:t>
      </w:r>
    </w:p>
    <w:p w:rsidR="001C59AB" w:rsidRPr="001C59AB" w:rsidRDefault="001C59AB" w:rsidP="001C59AB">
      <w:pPr>
        <w:pStyle w:val="Ttulo3"/>
        <w:rPr>
          <w:rStyle w:val="FontStyle164"/>
          <w:b/>
          <w:bCs/>
          <w:sz w:val="28"/>
        </w:rPr>
      </w:pPr>
      <w:r w:rsidRPr="001C59AB">
        <w:rPr>
          <w:rStyle w:val="FontStyle164"/>
          <w:sz w:val="28"/>
        </w:rPr>
        <w:t>3.3.5 DOMINIO E: Celeridade e Tempestividade</w:t>
      </w:r>
      <w:bookmarkEnd w:id="0"/>
    </w:p>
    <w:p w:rsidR="001C59AB" w:rsidRDefault="001C59AB" w:rsidP="001C59AB">
      <w:pPr>
        <w:pStyle w:val="Ttulo3"/>
      </w:pPr>
      <w:bookmarkStart w:id="2" w:name="_Toc406070570"/>
      <w:r>
        <w:t>3.3.5.1 QATC-10: Agilidade no julgamento de processos e gerenciamento de prazos pelos Tribunais de Contas</w:t>
      </w:r>
      <w:bookmarkEnd w:id="2"/>
    </w:p>
    <w:p w:rsidR="00707036" w:rsidRDefault="00707036" w:rsidP="001C59AB">
      <w:pPr>
        <w:spacing w:line="360" w:lineRule="auto"/>
        <w:jc w:val="both"/>
        <w:rPr>
          <w:rFonts w:ascii="Arial" w:hAnsi="Arial" w:cs="Arial"/>
          <w:b/>
        </w:rPr>
      </w:pPr>
    </w:p>
    <w:p w:rsidR="001C59AB" w:rsidRDefault="00707036" w:rsidP="001C59A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Pontuação do indicador = _________________________________________ </w:t>
      </w:r>
    </w:p>
    <w:p w:rsidR="001C59AB" w:rsidRDefault="001C59AB" w:rsidP="001C59AB">
      <w:pPr>
        <w:spacing w:line="360" w:lineRule="auto"/>
        <w:ind w:firstLine="567"/>
        <w:jc w:val="both"/>
        <w:rPr>
          <w:rFonts w:cs="Times New Roman"/>
        </w:rPr>
      </w:pPr>
      <w:r>
        <w:rPr>
          <w:rFonts w:ascii="Arial" w:hAnsi="Arial" w:cs="Arial"/>
        </w:rPr>
        <w:t>Os Tribunais de Contas brasileiros estão conscientes de que devem dar respostas com a rapidez que o cidadão exige e com a qualidade que ele merece, sendo imprescindível, para o cumprimento deste desiderato, a definição de prazos de referência para a deliberação dos processos de controle externo, por natureza; o estabelecimento de diretrizes para racionalização de processos e eliminação e redução do estoque; a definição de sistemática de gerenciamento de prazos; a definição de indicadores de desempenho; a identificação e divulgação das boas práticas e o intercâmbio de experiências e soluções</w:t>
      </w:r>
      <w:r>
        <w:rPr>
          <w:rFonts w:cs="Times New Roman"/>
        </w:rPr>
        <w:t>.</w:t>
      </w:r>
    </w:p>
    <w:p w:rsidR="001C59AB" w:rsidRDefault="001C59AB" w:rsidP="001C59AB">
      <w:pPr>
        <w:spacing w:line="360" w:lineRule="auto"/>
        <w:ind w:left="567" w:hanging="4"/>
        <w:jc w:val="both"/>
        <w:rPr>
          <w:rFonts w:ascii="Arial" w:hAnsi="Arial" w:cs="Arial"/>
        </w:rPr>
      </w:pPr>
      <w:r>
        <w:rPr>
          <w:rFonts w:ascii="Arial" w:hAnsi="Arial" w:cs="Arial"/>
        </w:rPr>
        <w:t>Dimensões a serem avaliadas:</w:t>
      </w:r>
    </w:p>
    <w:p w:rsidR="001C59AB" w:rsidRDefault="001C59AB" w:rsidP="001C59AB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Prazos para apreciação de processos (julgamento, emissão de parecer, registro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1C59AB" w:rsidRDefault="001C59AB" w:rsidP="001C59AB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Medidas para racionalizar a geração de processos (antes da autuação) </w:t>
      </w:r>
    </w:p>
    <w:p w:rsidR="001C59AB" w:rsidRDefault="001C59AB" w:rsidP="001C59AB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Medidas para assegurar maior celeridade à tramitação de processos (após a autuação)</w:t>
      </w:r>
    </w:p>
    <w:p w:rsidR="001C59AB" w:rsidRDefault="001C59AB" w:rsidP="001C59AB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Medidas para eliminar e reduzir o estoque de processos e para gerenciar os prazos</w:t>
      </w:r>
    </w:p>
    <w:p w:rsidR="001C59AB" w:rsidRDefault="001C59AB" w:rsidP="001C59AB">
      <w:pPr>
        <w:tabs>
          <w:tab w:val="left" w:pos="284"/>
        </w:tabs>
        <w:spacing w:line="360" w:lineRule="auto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8138"/>
        <w:gridCol w:w="1296"/>
      </w:tblGrid>
      <w:tr w:rsidR="001C59AB" w:rsidTr="001C59AB">
        <w:trPr>
          <w:trHeight w:val="292"/>
          <w:tblHeader/>
        </w:trPr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hideMark/>
          </w:tcPr>
          <w:p w:rsidR="001C59AB" w:rsidRDefault="001C59AB">
            <w:pPr>
              <w:keepNext/>
              <w:widowControl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Requisitos para a pontuação da dimensão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hideMark/>
          </w:tcPr>
          <w:p w:rsidR="001C59AB" w:rsidRDefault="001C59AB" w:rsidP="001C59AB">
            <w:pPr>
              <w:keepNext/>
              <w:widowControl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59AB" w:rsidTr="001C59AB">
        <w:trPr>
          <w:trHeight w:val="266"/>
        </w:trPr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59AB" w:rsidRDefault="001C59AB">
            <w:pPr>
              <w:keepNext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Dimensão (i) Prazos para apreciação de processos (julgamento, emissão de parecer, registro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C59AB" w:rsidRDefault="001C59AB">
            <w:pPr>
              <w:keepNext/>
              <w:widowControl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Atende?</w:t>
            </w:r>
          </w:p>
          <w:p w:rsidR="00C01CB9" w:rsidRDefault="00C01CB9">
            <w:pPr>
              <w:keepNext/>
              <w:widowControl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gramStart"/>
            <w:r>
              <w:rPr>
                <w:rFonts w:cs="Times New Roman"/>
                <w:b/>
              </w:rPr>
              <w:t>sim</w:t>
            </w:r>
            <w:proofErr w:type="gramEnd"/>
            <w:r>
              <w:rPr>
                <w:rFonts w:cs="Times New Roman"/>
                <w:b/>
              </w:rPr>
              <w:t>/não)</w:t>
            </w:r>
          </w:p>
        </w:tc>
      </w:tr>
      <w:tr w:rsidR="001C59AB" w:rsidTr="001C59AB"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C59AB" w:rsidRDefault="001C59AB">
            <w:pPr>
              <w:pStyle w:val="PargrafodaLista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Tribunal aprecia (julga, emite parecer, registra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os processos nos seguintes prazos: 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Contas de governo: até o final do exercício seguinte ao da sua apresentação ao Tribunal.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Contas de gestão: até o final do exercício seguinte ao da sua apresentação ao Tribunal.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Tomada de Contas de Exercício ou de Gestão: até o final do exercício seguinte ao da sua tomada pelo Tribunal.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Tomada de Contas Especial: até nove meses da sua autuação no Tribunal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Representações: até nove meses da sua autuação no Tribunal.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Denúncias: até nove meses da sua autuação no Tribunal.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Recursos/Pedido de rescisão: até quatro meses da autuação.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Processos sujeitos a concessões de cautelares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9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- Quanto à concessão: imediata, salvo se houver tempo suficiente para ouvir a outra parte, o Ministério Público de Contas e/ou o órgão técnico.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9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- Quanto ao julgamento de mérito da cautelar: até dois meses da concessão.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Consultas: até três meses da autuação no Tribunal.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Concursos públicos: até três meses da autuação no Tribunal.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Atos de pessoal (aposentadorias, pensões, reformas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): até quatro meses da autuação no Tribunal.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Demais processos (contratos, convênios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): até um ano da autuação no Tribunal.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4: </w:t>
            </w:r>
            <w:r>
              <w:rPr>
                <w:rFonts w:ascii="Arial" w:hAnsi="Arial" w:cs="Arial"/>
              </w:rPr>
              <w:t>todos os critérios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3: </w:t>
            </w:r>
            <w:r>
              <w:rPr>
                <w:rFonts w:ascii="Arial" w:hAnsi="Arial" w:cs="Arial"/>
              </w:rPr>
              <w:t>os critérios “a”, “b”, “e”, “f” e “i”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2: </w:t>
            </w:r>
            <w:r>
              <w:rPr>
                <w:rFonts w:ascii="Arial" w:hAnsi="Arial" w:cs="Arial"/>
              </w:rPr>
              <w:t>cinco dos critérios acima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1: </w:t>
            </w:r>
            <w:r>
              <w:rPr>
                <w:rFonts w:ascii="Arial" w:hAnsi="Arial" w:cs="Arial"/>
              </w:rPr>
              <w:t>três dos critérios acima é cumprido</w:t>
            </w:r>
          </w:p>
          <w:p w:rsidR="001C59AB" w:rsidRDefault="001C59AB">
            <w:pPr>
              <w:pStyle w:val="PargrafodaLista"/>
              <w:tabs>
                <w:tab w:val="decimal" w:leader="underscore" w:pos="1995"/>
                <w:tab w:val="decimal" w:pos="213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0: </w:t>
            </w:r>
            <w:r>
              <w:rPr>
                <w:rFonts w:ascii="Arial" w:hAnsi="Arial" w:cs="Arial"/>
              </w:rPr>
              <w:t>apenas dois dos critérios acima são cumpridos</w:t>
            </w:r>
          </w:p>
          <w:p w:rsidR="001C59AB" w:rsidRDefault="001C59AB">
            <w:pPr>
              <w:pStyle w:val="PargrafodaLista"/>
              <w:tabs>
                <w:tab w:val="decimal" w:leader="underscore" w:pos="1995"/>
                <w:tab w:val="decimal" w:pos="213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  <w:p w:rsidR="001C59AB" w:rsidRDefault="00C01CB9" w:rsidP="00C01CB9">
            <w:pPr>
              <w:pStyle w:val="PargrafodaLista"/>
              <w:tabs>
                <w:tab w:val="decimal" w:leader="underscore" w:pos="1995"/>
                <w:tab w:val="decimal" w:pos="213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da dimensão: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C59AB" w:rsidRDefault="001C5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59AB" w:rsidTr="001C59AB">
        <w:trPr>
          <w:trHeight w:val="316"/>
        </w:trPr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1C59AB" w:rsidRDefault="001C59A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Dimensão (</w:t>
            </w:r>
            <w:proofErr w:type="spellStart"/>
            <w:r>
              <w:rPr>
                <w:rFonts w:ascii="Arial" w:hAnsi="Arial" w:cs="Arial"/>
                <w:b/>
              </w:rPr>
              <w:t>ii</w:t>
            </w:r>
            <w:proofErr w:type="spellEnd"/>
            <w:r>
              <w:rPr>
                <w:rFonts w:ascii="Arial" w:hAnsi="Arial" w:cs="Arial"/>
                <w:b/>
              </w:rPr>
              <w:t>) Medidas para racionalizar a geração de processos (antes da autuação)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01CB9" w:rsidRDefault="00C01CB9" w:rsidP="00C01CB9">
            <w:pPr>
              <w:keepNext/>
              <w:widowControl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Atende?</w:t>
            </w:r>
          </w:p>
          <w:p w:rsidR="001C59AB" w:rsidRDefault="00C01CB9" w:rsidP="00C01CB9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gramStart"/>
            <w:r>
              <w:rPr>
                <w:rFonts w:cs="Times New Roman"/>
                <w:b/>
              </w:rPr>
              <w:t>sim</w:t>
            </w:r>
            <w:proofErr w:type="gramEnd"/>
            <w:r>
              <w:rPr>
                <w:rFonts w:cs="Times New Roman"/>
                <w:b/>
              </w:rPr>
              <w:t>/não)</w:t>
            </w:r>
          </w:p>
        </w:tc>
      </w:tr>
      <w:tr w:rsidR="001C59AB" w:rsidTr="00C01CB9">
        <w:trPr>
          <w:trHeight w:val="979"/>
        </w:trPr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AB" w:rsidRDefault="001C59AB">
            <w:pPr>
              <w:pStyle w:val="PargrafodaLista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</w:rPr>
              <w:t>Tribunal: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3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sistemática de planejamento das ações de controle externo com fundamento nos princípios da eficiência, eficácia, efetividade, na avaliação de risco e do custo/benefício do controle.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3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Constitui processos com fundamento nos princípios da eficiência, eficácia e efetividade, na avaliação de risco e do custo/benefício do controle.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3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Estabelece valor de alçada para a formação de processos. 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3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Autua em apartado o processo para cobrança de multa, de modo a </w:t>
            </w:r>
            <w:r>
              <w:rPr>
                <w:rFonts w:ascii="Arial" w:hAnsi="Arial" w:cs="Arial"/>
              </w:rPr>
              <w:lastRenderedPageBreak/>
              <w:t>não prejudicar o andamento do processo principal.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3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 aos jurisdicionados prazos e regras para a autuação dos processos de modo a evitar diligências desnecessárias.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4: </w:t>
            </w:r>
            <w:r>
              <w:rPr>
                <w:rFonts w:ascii="Arial" w:hAnsi="Arial" w:cs="Arial"/>
              </w:rPr>
              <w:t>todos os critérios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3: </w:t>
            </w:r>
            <w:r>
              <w:rPr>
                <w:rFonts w:ascii="Arial" w:hAnsi="Arial" w:cs="Arial"/>
              </w:rPr>
              <w:t>quatro dos critérios acima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2: </w:t>
            </w:r>
            <w:r>
              <w:rPr>
                <w:rFonts w:ascii="Arial" w:hAnsi="Arial" w:cs="Arial"/>
              </w:rPr>
              <w:t>dois dos critérios acima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1: </w:t>
            </w:r>
            <w:r>
              <w:rPr>
                <w:rFonts w:ascii="Arial" w:hAnsi="Arial" w:cs="Arial"/>
              </w:rPr>
              <w:t>um dos critérios acima é cumprido</w:t>
            </w:r>
          </w:p>
          <w:p w:rsidR="001C59AB" w:rsidRDefault="001C59AB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0: </w:t>
            </w:r>
            <w:r>
              <w:rPr>
                <w:rFonts w:ascii="Arial" w:hAnsi="Arial" w:cs="Arial"/>
              </w:rPr>
              <w:t>nenhum dos critérios acima é cumprido</w:t>
            </w:r>
          </w:p>
          <w:p w:rsidR="00EA2B70" w:rsidRDefault="00EA2B70">
            <w:pPr>
              <w:pStyle w:val="PargrafodaLista"/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  <w:p w:rsidR="00C01CB9" w:rsidRDefault="00C01CB9">
            <w:pPr>
              <w:pStyle w:val="PargrafodaLista"/>
              <w:spacing w:before="120" w:after="120" w:line="240" w:lineRule="auto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b/>
              </w:rPr>
              <w:t>Pontuação da dimensão: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AB" w:rsidRDefault="001C5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59AB" w:rsidTr="001C59AB">
        <w:trPr>
          <w:trHeight w:val="316"/>
        </w:trPr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1C59AB" w:rsidRDefault="001C59A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Dimensão (</w:t>
            </w:r>
            <w:proofErr w:type="spellStart"/>
            <w:r>
              <w:rPr>
                <w:rFonts w:ascii="Arial" w:hAnsi="Arial" w:cs="Arial"/>
                <w:b/>
              </w:rPr>
              <w:t>iii</w:t>
            </w:r>
            <w:proofErr w:type="spellEnd"/>
            <w:r>
              <w:rPr>
                <w:rFonts w:ascii="Arial" w:hAnsi="Arial" w:cs="Arial"/>
                <w:b/>
              </w:rPr>
              <w:t>) Medidas para assegurar maior celeridade à tramitação de processos (após a autuação)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C01CB9" w:rsidRDefault="00C01CB9" w:rsidP="00C01CB9">
            <w:pPr>
              <w:keepNext/>
              <w:widowControl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Atende?</w:t>
            </w:r>
          </w:p>
          <w:p w:rsidR="001C59AB" w:rsidRDefault="00C01CB9" w:rsidP="00C01C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gramStart"/>
            <w:r>
              <w:rPr>
                <w:rFonts w:cs="Times New Roman"/>
                <w:b/>
              </w:rPr>
              <w:t>sim</w:t>
            </w:r>
            <w:proofErr w:type="gramEnd"/>
            <w:r>
              <w:rPr>
                <w:rFonts w:cs="Times New Roman"/>
                <w:b/>
              </w:rPr>
              <w:t>/não)</w:t>
            </w:r>
          </w:p>
        </w:tc>
      </w:tr>
      <w:tr w:rsidR="001C59AB" w:rsidTr="001C59AB">
        <w:trPr>
          <w:trHeight w:val="250"/>
        </w:trPr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AB" w:rsidRDefault="001C59AB">
            <w:pPr>
              <w:pStyle w:val="PargrafodaLista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Tribunal: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critérios para classificação dos processos conforme o grau de complexidade.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prazos para deliberação final dos processos em função da sua natureza.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prazos para cada etapa do processo, considerando o prazo final de deliberação.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padrões de qualidade dos relatórios técnicos, bem como sistemática periódica de avaliação.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Estabelece padrões e critérios uniformes para as análises, no que couber.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Atribui competência ao órgão técnico para realização de diligências a fim de complementar a instrução processual.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Aprimora os meios de comunicação dos atos e trâmites processuais.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o Diário Oficial Eletrônico como principal meio de comunicação dos atos processuais.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Adota o processo eletrônico.</w:t>
            </w:r>
          </w:p>
          <w:p w:rsidR="001C59AB" w:rsidRDefault="001C59AB" w:rsidP="00F802AF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Estabelece metas institucionais qualitativas e quantitativas para análise e deliberação de processos vinculadas ao plano estratégico do Tribunal.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C59AB" w:rsidRDefault="001C59AB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4: </w:t>
            </w:r>
            <w:r>
              <w:rPr>
                <w:rFonts w:ascii="Arial" w:hAnsi="Arial" w:cs="Arial"/>
              </w:rPr>
              <w:t>todos os critérios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3: </w:t>
            </w:r>
            <w:r>
              <w:rPr>
                <w:rFonts w:ascii="Arial" w:hAnsi="Arial" w:cs="Arial"/>
              </w:rPr>
              <w:t>oito dos critérios acima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2: </w:t>
            </w:r>
            <w:r>
              <w:rPr>
                <w:rFonts w:ascii="Arial" w:hAnsi="Arial" w:cs="Arial"/>
              </w:rPr>
              <w:t>seis dos critérios acima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1: </w:t>
            </w:r>
            <w:r>
              <w:rPr>
                <w:rFonts w:ascii="Arial" w:hAnsi="Arial" w:cs="Arial"/>
              </w:rPr>
              <w:t>três dos critérios acima é cumprido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0: </w:t>
            </w:r>
            <w:r>
              <w:rPr>
                <w:rFonts w:ascii="Arial" w:hAnsi="Arial" w:cs="Arial"/>
              </w:rPr>
              <w:t>menos de três dos critérios acima são cumpridos</w:t>
            </w:r>
          </w:p>
          <w:p w:rsidR="00EA2B70" w:rsidRDefault="00EA2B70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</w:p>
          <w:p w:rsidR="00EA2B70" w:rsidRDefault="00EA2B70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Pontuação da dimensão: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AB" w:rsidRDefault="001C59AB">
            <w:pPr>
              <w:spacing w:line="360" w:lineRule="auto"/>
              <w:ind w:left="1416"/>
              <w:rPr>
                <w:rFonts w:cs="Times New Roman"/>
              </w:rPr>
            </w:pPr>
          </w:p>
        </w:tc>
      </w:tr>
      <w:tr w:rsidR="001C59AB" w:rsidTr="001C59AB">
        <w:trPr>
          <w:trHeight w:val="316"/>
        </w:trPr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1C59AB" w:rsidRDefault="001C59A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Dimensão (</w:t>
            </w:r>
            <w:proofErr w:type="spellStart"/>
            <w:r>
              <w:rPr>
                <w:rFonts w:ascii="Arial" w:hAnsi="Arial" w:cs="Arial"/>
                <w:b/>
              </w:rPr>
              <w:t>iv</w:t>
            </w:r>
            <w:proofErr w:type="spellEnd"/>
            <w:r>
              <w:rPr>
                <w:rFonts w:ascii="Arial" w:hAnsi="Arial" w:cs="Arial"/>
                <w:b/>
              </w:rPr>
              <w:t>) Medidas para eliminar ou reduzir o estoque de processos e gerenciar os prazos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01CB9" w:rsidRDefault="00C01CB9" w:rsidP="00C01CB9">
            <w:pPr>
              <w:keepNext/>
              <w:widowControl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Atende?</w:t>
            </w:r>
          </w:p>
          <w:p w:rsidR="001C59AB" w:rsidRDefault="00C01CB9" w:rsidP="00C01CB9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gramStart"/>
            <w:r>
              <w:rPr>
                <w:rFonts w:cs="Times New Roman"/>
                <w:b/>
              </w:rPr>
              <w:t>sim</w:t>
            </w:r>
            <w:proofErr w:type="gramEnd"/>
            <w:r>
              <w:rPr>
                <w:rFonts w:cs="Times New Roman"/>
                <w:b/>
              </w:rPr>
              <w:t>/não)</w:t>
            </w:r>
          </w:p>
        </w:tc>
      </w:tr>
      <w:tr w:rsidR="001C59AB" w:rsidTr="001C59AB">
        <w:trPr>
          <w:trHeight w:val="250"/>
        </w:trPr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AB" w:rsidRDefault="001C59AB">
            <w:pPr>
              <w:pStyle w:val="PargrafodaLista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Tribunal: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Realiza inventário do estoque processual, por natureza, fase processual e ano de autuação.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Desenvolve projetos e ações para a redução/eliminação do estoque, com a designação de equipe gestora e definição de metas institucionais.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Aplica os institutos da prescrição e decadência.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Estabelece procedimentos de análise conforme critérios de materialidade, relevância e risco e ano da ocorrência dos fatos.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Define agenda de deliberação dos processos em estoque.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Adota decisões monocráticas.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Agrupa processos para análise e julgamento em bloco quando as matérias são correlatas.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Contempla, no plano estratégico, medidas para conferir maior celeridade à tramitação dos processos.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spacing w:before="120" w:after="120" w:line="240" w:lineRule="auto"/>
              <w:ind w:left="77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Institui sistemática de monitoramento e gerenciamento do cumprimento dos prazos, com apoio de sistema informatizado, identificação das não conformidades e emissão de alertas eletrônicos de prazos para membros, servidores e unidades.</w:t>
            </w:r>
          </w:p>
          <w:p w:rsidR="001C59AB" w:rsidRDefault="001C59AB" w:rsidP="00F802AF">
            <w:pPr>
              <w:pStyle w:val="western"/>
              <w:numPr>
                <w:ilvl w:val="1"/>
                <w:numId w:val="5"/>
              </w:numPr>
              <w:tabs>
                <w:tab w:val="left" w:pos="920"/>
              </w:tabs>
              <w:spacing w:before="120" w:after="120" w:line="240" w:lineRule="auto"/>
              <w:ind w:left="9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Monitora o cumprimento dos prazos pela Corregedoria.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C59AB" w:rsidRDefault="001C59AB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4: </w:t>
            </w:r>
            <w:r>
              <w:rPr>
                <w:rFonts w:ascii="Arial" w:hAnsi="Arial" w:cs="Arial"/>
              </w:rPr>
              <w:t>todos os critérios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3: </w:t>
            </w:r>
            <w:r>
              <w:rPr>
                <w:rFonts w:ascii="Arial" w:hAnsi="Arial" w:cs="Arial"/>
              </w:rPr>
              <w:t>oito dos critérios acima são cumpridos</w:t>
            </w:r>
          </w:p>
          <w:p w:rsidR="001C59AB" w:rsidRDefault="001C59AB">
            <w:pPr>
              <w:pStyle w:val="PargrafodaLista"/>
              <w:spacing w:before="120" w:after="12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2: </w:t>
            </w:r>
            <w:r>
              <w:rPr>
                <w:rFonts w:ascii="Arial" w:hAnsi="Arial" w:cs="Arial"/>
              </w:rPr>
              <w:t>seis dos critérios acima são cumpridos</w:t>
            </w:r>
          </w:p>
          <w:p w:rsidR="001C59AB" w:rsidRDefault="001C59AB">
            <w:pPr>
              <w:pStyle w:val="PargrafodaLista"/>
              <w:spacing w:after="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1: </w:t>
            </w:r>
            <w:r>
              <w:rPr>
                <w:rFonts w:ascii="Arial" w:hAnsi="Arial" w:cs="Arial"/>
              </w:rPr>
              <w:t>três dos critérios acima é cumprido</w:t>
            </w:r>
          </w:p>
          <w:p w:rsidR="001C59AB" w:rsidRDefault="001C59AB">
            <w:pPr>
              <w:pStyle w:val="PargrafodaLista"/>
              <w:spacing w:after="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Pontuação = 0: </w:t>
            </w:r>
            <w:r>
              <w:rPr>
                <w:rFonts w:ascii="Arial" w:hAnsi="Arial" w:cs="Arial"/>
              </w:rPr>
              <w:t>nenhum dos critérios acima é cumprido</w:t>
            </w:r>
          </w:p>
          <w:p w:rsidR="00EA2B70" w:rsidRDefault="00EA2B70">
            <w:pPr>
              <w:pStyle w:val="PargrafodaLista"/>
              <w:spacing w:after="0" w:line="240" w:lineRule="auto"/>
              <w:ind w:left="778"/>
              <w:jc w:val="both"/>
              <w:rPr>
                <w:rFonts w:ascii="Arial" w:hAnsi="Arial" w:cs="Arial"/>
              </w:rPr>
            </w:pPr>
          </w:p>
          <w:p w:rsidR="00EA2B70" w:rsidRDefault="00EA2B70">
            <w:pPr>
              <w:pStyle w:val="PargrafodaLista"/>
              <w:spacing w:after="0" w:line="240" w:lineRule="auto"/>
              <w:ind w:left="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Pontuação da dimensão: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C59AB" w:rsidRDefault="001C59AB">
            <w:pPr>
              <w:pStyle w:val="PargrafodaLista"/>
              <w:spacing w:after="0" w:line="360" w:lineRule="auto"/>
              <w:ind w:left="45"/>
              <w:rPr>
                <w:rFonts w:ascii="Arial" w:hAnsi="Arial" w:cs="Arial"/>
                <w:b/>
              </w:rPr>
            </w:pPr>
          </w:p>
        </w:tc>
      </w:tr>
    </w:tbl>
    <w:p w:rsidR="00B94AE4" w:rsidRDefault="00B94AE4"/>
    <w:sectPr w:rsidR="00B94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C34"/>
    <w:multiLevelType w:val="multilevel"/>
    <w:tmpl w:val="3B6ADECE"/>
    <w:lvl w:ilvl="0">
      <w:start w:val="1"/>
      <w:numFmt w:val="lowerRoman"/>
      <w:lvlText w:val="%1)"/>
      <w:lvlJc w:val="left"/>
      <w:pPr>
        <w:ind w:left="1150" w:hanging="72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67955EE"/>
    <w:multiLevelType w:val="multilevel"/>
    <w:tmpl w:val="854C1D84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87DD0"/>
    <w:multiLevelType w:val="multilevel"/>
    <w:tmpl w:val="F10E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6A4755C"/>
    <w:multiLevelType w:val="multilevel"/>
    <w:tmpl w:val="5D3E8C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791462"/>
    <w:multiLevelType w:val="multilevel"/>
    <w:tmpl w:val="610A36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AB"/>
    <w:rsid w:val="001C59AB"/>
    <w:rsid w:val="004D6802"/>
    <w:rsid w:val="00707036"/>
    <w:rsid w:val="007A7058"/>
    <w:rsid w:val="00B94AE4"/>
    <w:rsid w:val="00C01CB9"/>
    <w:rsid w:val="00DF10AD"/>
    <w:rsid w:val="00E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C3BD-1482-4556-81AF-277E921C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A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59AB"/>
    <w:pPr>
      <w:keepNext/>
      <w:keepLines/>
      <w:spacing w:before="200"/>
      <w:outlineLvl w:val="2"/>
    </w:pPr>
    <w:rPr>
      <w:rFonts w:ascii="Arial" w:eastAsiaTheme="majorEastAsia" w:hAnsi="Arial"/>
      <w:b/>
      <w:b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1C59AB"/>
    <w:rPr>
      <w:rFonts w:ascii="Arial" w:eastAsiaTheme="majorEastAsia" w:hAnsi="Arial" w:cs="Mangal"/>
      <w:b/>
      <w:bCs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1C59AB"/>
    <w:pPr>
      <w:spacing w:after="200"/>
      <w:ind w:left="720"/>
      <w:contextualSpacing/>
    </w:pPr>
  </w:style>
  <w:style w:type="paragraph" w:customStyle="1" w:styleId="western">
    <w:name w:val="western"/>
    <w:basedOn w:val="Normal"/>
    <w:rsid w:val="001C59AB"/>
    <w:pPr>
      <w:spacing w:before="280" w:after="119"/>
    </w:pPr>
    <w:rPr>
      <w:rFonts w:eastAsia="Times New Roman" w:cs="Times New Roman"/>
      <w:lang w:eastAsia="pt-BR"/>
    </w:rPr>
  </w:style>
  <w:style w:type="character" w:customStyle="1" w:styleId="FontStyle164">
    <w:name w:val="Font Style164"/>
    <w:basedOn w:val="Fontepargpadro"/>
    <w:uiPriority w:val="99"/>
    <w:rsid w:val="001C59AB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1CB9"/>
    <w:pPr>
      <w:widowControl/>
      <w:tabs>
        <w:tab w:val="center" w:pos="4252"/>
        <w:tab w:val="right" w:pos="8504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0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Jaylson Fabianh Lopes Campelo</dc:creator>
  <cp:lastModifiedBy>JANAYNA RAMOS DE SOUZA CAJUEIRO</cp:lastModifiedBy>
  <cp:revision>2</cp:revision>
  <dcterms:created xsi:type="dcterms:W3CDTF">2015-03-20T17:58:00Z</dcterms:created>
  <dcterms:modified xsi:type="dcterms:W3CDTF">2015-03-20T17:58:00Z</dcterms:modified>
</cp:coreProperties>
</file>