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3C98" w:rsidRDefault="00193C98">
      <w:pPr>
        <w:ind w:right="284"/>
        <w:rPr>
          <w:sz w:val="24"/>
          <w:szCs w:val="24"/>
        </w:rPr>
      </w:pPr>
    </w:p>
    <w:p w:rsidR="00193C98" w:rsidRDefault="00193C98">
      <w:pPr>
        <w:spacing w:before="280" w:after="280"/>
        <w:ind w:right="284"/>
        <w:jc w:val="center"/>
        <w:rPr>
          <w:b/>
          <w:sz w:val="24"/>
          <w:szCs w:val="24"/>
        </w:rPr>
      </w:pPr>
      <w:r>
        <w:rPr>
          <w:b/>
          <w:sz w:val="24"/>
          <w:szCs w:val="24"/>
        </w:rPr>
        <w:t>Proposta de atividade no XXVII Congresso dos Tribunais de Contas do Brasil</w:t>
      </w:r>
    </w:p>
    <w:p w:rsidR="00193C98" w:rsidRDefault="00193C98">
      <w:pPr>
        <w:spacing w:before="280" w:after="280"/>
        <w:ind w:right="284"/>
        <w:jc w:val="center"/>
        <w:rPr>
          <w:sz w:val="24"/>
          <w:szCs w:val="24"/>
        </w:rPr>
      </w:pPr>
      <w:r>
        <w:rPr>
          <w:sz w:val="24"/>
          <w:szCs w:val="24"/>
        </w:rPr>
        <w:t>Auditorias Coordenadas: Educação/ Ensino Médio e Meio Ambiente/ Unidades de Conservação no Bioma Amazônia</w:t>
      </w:r>
    </w:p>
    <w:p w:rsidR="00193C98" w:rsidRDefault="00193C98">
      <w:pPr>
        <w:numPr>
          <w:ilvl w:val="0"/>
          <w:numId w:val="2"/>
        </w:numPr>
        <w:tabs>
          <w:tab w:val="left" w:pos="1134"/>
        </w:tabs>
        <w:spacing w:before="120" w:after="120" w:line="360" w:lineRule="auto"/>
        <w:ind w:left="0" w:right="284" w:firstLine="0"/>
        <w:rPr>
          <w:b/>
          <w:sz w:val="24"/>
          <w:szCs w:val="24"/>
        </w:rPr>
      </w:pPr>
      <w:r>
        <w:rPr>
          <w:b/>
          <w:sz w:val="24"/>
          <w:szCs w:val="24"/>
        </w:rPr>
        <w:t xml:space="preserve">Introdução </w:t>
      </w:r>
    </w:p>
    <w:p w:rsidR="00193C98" w:rsidRDefault="00193C98">
      <w:pPr>
        <w:tabs>
          <w:tab w:val="left" w:pos="1134"/>
        </w:tabs>
        <w:spacing w:before="120" w:after="120" w:line="360" w:lineRule="auto"/>
        <w:ind w:left="7" w:right="284" w:firstLine="2"/>
        <w:jc w:val="both"/>
        <w:rPr>
          <w:sz w:val="24"/>
          <w:szCs w:val="24"/>
        </w:rPr>
      </w:pPr>
      <w:r>
        <w:rPr>
          <w:sz w:val="24"/>
          <w:szCs w:val="24"/>
        </w:rPr>
        <w:tab/>
        <w:t>As auditorias coordenadas representam importante estratégia de atuação dos tribunais de contas que refletem múltiplas oportunidades para os órgãos de controle. Podemos destacar, dentre outras, o favorecimento de atuação complementar em um mesmo objeto de controle tornando a análise mais abrangente e suportada por número mais robusto de evidências e a possibilidade de capacitação em serviço a partir da utilização de técnicas comuns de auditoria alicerçada na troca de experiência constante durante os trabalhos.</w:t>
      </w:r>
    </w:p>
    <w:p w:rsidR="00193C98" w:rsidRDefault="00193C98">
      <w:pPr>
        <w:tabs>
          <w:tab w:val="left" w:pos="1134"/>
        </w:tabs>
        <w:spacing w:before="120" w:after="120" w:line="360" w:lineRule="auto"/>
        <w:ind w:left="7" w:right="284" w:firstLine="2"/>
        <w:jc w:val="both"/>
        <w:rPr>
          <w:sz w:val="24"/>
          <w:szCs w:val="24"/>
        </w:rPr>
      </w:pPr>
      <w:r>
        <w:rPr>
          <w:sz w:val="24"/>
          <w:szCs w:val="24"/>
        </w:rPr>
        <w:tab/>
        <w:t>A realização de auditorias coordenadas decorreu de compromisso firmado entre os tribunais de contas no III Encontro Nacional dos Tribunais de Contas, realizado em Campo Grande/MS em novembro de 2012.</w:t>
      </w:r>
    </w:p>
    <w:p w:rsidR="00193C98" w:rsidRDefault="00193C98">
      <w:pPr>
        <w:tabs>
          <w:tab w:val="left" w:pos="1134"/>
        </w:tabs>
        <w:spacing w:before="120" w:after="120" w:line="360" w:lineRule="auto"/>
        <w:ind w:left="7" w:right="284" w:firstLine="2"/>
        <w:jc w:val="both"/>
        <w:rPr>
          <w:sz w:val="24"/>
          <w:szCs w:val="24"/>
        </w:rPr>
      </w:pPr>
      <w:r>
        <w:rPr>
          <w:sz w:val="24"/>
          <w:szCs w:val="24"/>
        </w:rPr>
        <w:tab/>
        <w:t>Como consequência desse acordo, os tribunais de contas realizaram auditorias coordenadas na área da Educação e na área do Meio Ambiente, cujos objetos foram, respectivamente, a Qualidade no Ensino Médio e as “Unidades de Conservação no Bioma Amazônia”.</w:t>
      </w:r>
    </w:p>
    <w:p w:rsidR="00193C98" w:rsidRDefault="00193C98">
      <w:pPr>
        <w:tabs>
          <w:tab w:val="left" w:pos="1134"/>
        </w:tabs>
        <w:spacing w:before="120" w:after="120" w:line="360" w:lineRule="auto"/>
        <w:ind w:left="7" w:right="284" w:firstLine="2"/>
        <w:jc w:val="both"/>
        <w:rPr>
          <w:sz w:val="24"/>
          <w:szCs w:val="24"/>
        </w:rPr>
      </w:pPr>
      <w:r>
        <w:rPr>
          <w:sz w:val="24"/>
          <w:szCs w:val="24"/>
        </w:rPr>
        <w:tab/>
        <w:t>As experiências acumuladas na realização dessas auditorias representam relevantes insumos a serem compartilhados com as autoridades, auditores e demais interessados nos temas afetos ao controle.</w:t>
      </w:r>
    </w:p>
    <w:p w:rsidR="00193C98" w:rsidRPr="003F2635" w:rsidRDefault="00193C98">
      <w:pPr>
        <w:tabs>
          <w:tab w:val="left" w:pos="1134"/>
        </w:tabs>
        <w:spacing w:before="120" w:after="120" w:line="360" w:lineRule="auto"/>
        <w:ind w:left="7" w:right="284" w:firstLine="2"/>
        <w:jc w:val="both"/>
        <w:rPr>
          <w:sz w:val="24"/>
          <w:szCs w:val="24"/>
        </w:rPr>
      </w:pPr>
      <w:r>
        <w:rPr>
          <w:sz w:val="24"/>
          <w:szCs w:val="24"/>
        </w:rPr>
        <w:tab/>
      </w:r>
      <w:r w:rsidRPr="003F2635">
        <w:rPr>
          <w:sz w:val="24"/>
          <w:szCs w:val="24"/>
        </w:rPr>
        <w:t>Desse modo, a realização de atividade sobre auditorias coordenadas no XXVII Congresso dos Tribunais de Contas do Brasil é importante espaço para discussão das experiências desenvolvidas nesse tipo de auditoria e das perspectivas de aperfeiçoamento das ações de controle por parte dos tribunais.</w:t>
      </w:r>
    </w:p>
    <w:p w:rsidR="00193C98" w:rsidRDefault="00193C98">
      <w:pPr>
        <w:tabs>
          <w:tab w:val="left" w:pos="1134"/>
        </w:tabs>
        <w:spacing w:before="120" w:after="120" w:line="360" w:lineRule="auto"/>
        <w:ind w:left="7" w:right="284" w:firstLine="2"/>
        <w:jc w:val="both"/>
        <w:rPr>
          <w:sz w:val="24"/>
          <w:szCs w:val="24"/>
        </w:rPr>
      </w:pPr>
      <w:r>
        <w:rPr>
          <w:sz w:val="24"/>
          <w:szCs w:val="24"/>
        </w:rPr>
        <w:tab/>
        <w:t xml:space="preserve">A proposta de atividade que se segue será apoiada, conforme Ofício 27/2013/ATRICON/ABRACON/IRB/TCE-ES, </w:t>
      </w:r>
      <w:r>
        <w:rPr>
          <w:sz w:val="24"/>
          <w:szCs w:val="24"/>
        </w:rPr>
        <w:tab/>
        <w:t>pelo conselheiro Cláudio Couto Terrão (TCE/MG), pela conselheira Marisa Serrano (TCE/MS) – representando a Atricon, e pelo conselheiro Otávio Lessa (TCE/AL) – representando o IRB.</w:t>
      </w:r>
    </w:p>
    <w:p w:rsidR="00193C98" w:rsidRDefault="00193C98">
      <w:pPr>
        <w:tabs>
          <w:tab w:val="left" w:pos="1134"/>
        </w:tabs>
        <w:spacing w:before="120" w:after="120" w:line="360" w:lineRule="auto"/>
        <w:ind w:left="7" w:right="284" w:firstLine="2"/>
        <w:jc w:val="both"/>
        <w:rPr>
          <w:sz w:val="24"/>
          <w:szCs w:val="24"/>
        </w:rPr>
      </w:pPr>
    </w:p>
    <w:p w:rsidR="00193C98" w:rsidRDefault="00193C98">
      <w:pPr>
        <w:tabs>
          <w:tab w:val="left" w:pos="1134"/>
        </w:tabs>
        <w:spacing w:before="120" w:after="120" w:line="360" w:lineRule="auto"/>
        <w:ind w:left="7" w:right="284" w:firstLine="2"/>
        <w:jc w:val="both"/>
        <w:rPr>
          <w:sz w:val="24"/>
          <w:szCs w:val="24"/>
        </w:rPr>
      </w:pPr>
    </w:p>
    <w:p w:rsidR="00193C98" w:rsidRDefault="00193C98">
      <w:pPr>
        <w:numPr>
          <w:ilvl w:val="0"/>
          <w:numId w:val="2"/>
        </w:numPr>
        <w:tabs>
          <w:tab w:val="left" w:pos="1134"/>
        </w:tabs>
        <w:spacing w:before="120" w:after="120" w:line="360" w:lineRule="auto"/>
        <w:ind w:left="0" w:right="284" w:firstLine="0"/>
        <w:rPr>
          <w:b/>
          <w:sz w:val="24"/>
          <w:szCs w:val="24"/>
        </w:rPr>
      </w:pPr>
      <w:r>
        <w:rPr>
          <w:b/>
          <w:sz w:val="24"/>
          <w:szCs w:val="24"/>
        </w:rPr>
        <w:lastRenderedPageBreak/>
        <w:t>Informações Gerais</w:t>
      </w:r>
    </w:p>
    <w:p w:rsidR="00193C98" w:rsidRDefault="00193C98">
      <w:pPr>
        <w:numPr>
          <w:ilvl w:val="0"/>
          <w:numId w:val="3"/>
        </w:numPr>
        <w:tabs>
          <w:tab w:val="left" w:pos="1134"/>
        </w:tabs>
        <w:spacing w:before="120" w:after="120" w:line="360" w:lineRule="auto"/>
        <w:ind w:left="0" w:right="284" w:firstLine="0"/>
        <w:jc w:val="both"/>
        <w:rPr>
          <w:sz w:val="24"/>
          <w:szCs w:val="24"/>
        </w:rPr>
      </w:pPr>
      <w:r>
        <w:rPr>
          <w:sz w:val="24"/>
          <w:szCs w:val="24"/>
        </w:rPr>
        <w:t>A atividade proposta é a realização de um debate a partir da apresentação das experiências relativas ao desenvolvimento das auditorias coordenadas na Educação, cujo objeto foi o Ensino Médio, e no Meio Ambiente que proporcionou ação fiscalizatória nas Unidades de Conservação no Bioma Amazônia;</w:t>
      </w:r>
    </w:p>
    <w:p w:rsidR="00193C98" w:rsidRDefault="00193C98">
      <w:pPr>
        <w:numPr>
          <w:ilvl w:val="0"/>
          <w:numId w:val="3"/>
        </w:numPr>
        <w:tabs>
          <w:tab w:val="left" w:pos="1134"/>
        </w:tabs>
        <w:spacing w:before="120" w:after="120" w:line="360" w:lineRule="auto"/>
        <w:ind w:left="0" w:right="284" w:firstLine="0"/>
        <w:jc w:val="both"/>
        <w:rPr>
          <w:sz w:val="24"/>
          <w:szCs w:val="24"/>
        </w:rPr>
      </w:pPr>
      <w:r>
        <w:rPr>
          <w:sz w:val="24"/>
          <w:szCs w:val="24"/>
        </w:rPr>
        <w:t>Atividade a ser realizada no dia 04/12/2013, das 14h às 16h30, composta por apresentações seguidas por debate provocado por perguntas da plateia;</w:t>
      </w:r>
    </w:p>
    <w:p w:rsidR="00193C98" w:rsidRDefault="00193C98">
      <w:pPr>
        <w:numPr>
          <w:ilvl w:val="0"/>
          <w:numId w:val="3"/>
        </w:numPr>
        <w:tabs>
          <w:tab w:val="left" w:pos="1134"/>
        </w:tabs>
        <w:spacing w:before="120" w:after="120" w:line="360" w:lineRule="auto"/>
        <w:ind w:left="0" w:right="284" w:firstLine="0"/>
        <w:jc w:val="both"/>
        <w:rPr>
          <w:sz w:val="24"/>
          <w:szCs w:val="24"/>
        </w:rPr>
      </w:pPr>
      <w:r>
        <w:rPr>
          <w:sz w:val="24"/>
          <w:szCs w:val="24"/>
        </w:rPr>
        <w:t>Apresentações a serem realizadas em 1h55min seguidas por um período de perguntas e respostas totalizando 35min;</w:t>
      </w:r>
    </w:p>
    <w:p w:rsidR="00193C98" w:rsidRPr="003F2635" w:rsidRDefault="00193C98">
      <w:pPr>
        <w:numPr>
          <w:ilvl w:val="0"/>
          <w:numId w:val="3"/>
        </w:numPr>
        <w:tabs>
          <w:tab w:val="left" w:pos="1134"/>
        </w:tabs>
        <w:spacing w:before="120" w:after="120" w:line="360" w:lineRule="auto"/>
        <w:ind w:left="0" w:right="284" w:firstLine="0"/>
        <w:jc w:val="both"/>
        <w:rPr>
          <w:sz w:val="24"/>
          <w:szCs w:val="24"/>
        </w:rPr>
      </w:pPr>
      <w:r w:rsidRPr="003F2635">
        <w:rPr>
          <w:sz w:val="24"/>
          <w:szCs w:val="24"/>
        </w:rPr>
        <w:t>Formulação de proposta de encaminhamento à Atricon e ao IRB sobre as oportunidades de aperfeiçoamento e continuidade das ações de controle por meio de auditorias coordenadas.</w:t>
      </w:r>
    </w:p>
    <w:p w:rsidR="00193C98" w:rsidRDefault="00193C98">
      <w:pPr>
        <w:tabs>
          <w:tab w:val="left" w:pos="1134"/>
        </w:tabs>
        <w:spacing w:before="120" w:after="120" w:line="360" w:lineRule="auto"/>
        <w:ind w:left="720" w:right="284"/>
        <w:jc w:val="both"/>
        <w:rPr>
          <w:sz w:val="24"/>
          <w:szCs w:val="24"/>
        </w:rPr>
      </w:pPr>
    </w:p>
    <w:p w:rsidR="00193C98" w:rsidRDefault="00193C98">
      <w:pPr>
        <w:numPr>
          <w:ilvl w:val="0"/>
          <w:numId w:val="2"/>
        </w:numPr>
        <w:tabs>
          <w:tab w:val="left" w:pos="1134"/>
        </w:tabs>
        <w:spacing w:before="120" w:after="120" w:line="360" w:lineRule="auto"/>
        <w:ind w:left="0" w:right="284" w:firstLine="0"/>
        <w:rPr>
          <w:b/>
          <w:color w:val="000000"/>
          <w:sz w:val="24"/>
          <w:szCs w:val="24"/>
        </w:rPr>
      </w:pPr>
      <w:r>
        <w:rPr>
          <w:b/>
          <w:color w:val="000000"/>
          <w:sz w:val="24"/>
          <w:szCs w:val="24"/>
        </w:rPr>
        <w:t>Objetivos do debate</w:t>
      </w:r>
    </w:p>
    <w:p w:rsidR="00193C98" w:rsidRDefault="00193C98">
      <w:pPr>
        <w:tabs>
          <w:tab w:val="left" w:pos="1134"/>
        </w:tabs>
        <w:spacing w:before="120" w:after="120" w:line="360" w:lineRule="auto"/>
        <w:ind w:left="7" w:right="284" w:firstLine="2"/>
        <w:jc w:val="both"/>
        <w:rPr>
          <w:sz w:val="24"/>
          <w:szCs w:val="24"/>
        </w:rPr>
      </w:pPr>
      <w:r>
        <w:rPr>
          <w:sz w:val="24"/>
          <w:szCs w:val="24"/>
        </w:rPr>
        <w:tab/>
        <w:t>A promoção do debate tem como objetivo trazer à tona aspectos relevantes relativos à realização de auditorias coordenadas, bem como buscar elementos a partir da experiência das equipes envolvidas nos trabalhos para identificar e qualificar os pontos fortes dessa forma de atuação, que desejavelmente deverão permanecer em outros trabalhos dessa natureza; e evidenciar as dificuldades na perspectiva de mitigá-las em futuras ações.</w:t>
      </w:r>
    </w:p>
    <w:p w:rsidR="00193C98" w:rsidRDefault="00193C98">
      <w:pPr>
        <w:pStyle w:val="PargrafodaLista"/>
        <w:tabs>
          <w:tab w:val="left" w:pos="1134"/>
        </w:tabs>
        <w:spacing w:before="120" w:after="120" w:line="360" w:lineRule="auto"/>
        <w:ind w:right="284"/>
        <w:jc w:val="both"/>
        <w:rPr>
          <w:sz w:val="24"/>
          <w:szCs w:val="24"/>
        </w:rPr>
      </w:pPr>
    </w:p>
    <w:p w:rsidR="00193C98" w:rsidRPr="008971F9" w:rsidRDefault="00193C98">
      <w:pPr>
        <w:numPr>
          <w:ilvl w:val="0"/>
          <w:numId w:val="2"/>
        </w:numPr>
        <w:tabs>
          <w:tab w:val="left" w:pos="1134"/>
        </w:tabs>
        <w:spacing w:before="120" w:after="120" w:line="360" w:lineRule="auto"/>
        <w:ind w:left="0" w:right="284" w:firstLine="0"/>
        <w:rPr>
          <w:b/>
          <w:sz w:val="24"/>
          <w:szCs w:val="24"/>
          <w:shd w:val="clear" w:color="auto" w:fill="FF0000"/>
        </w:rPr>
      </w:pPr>
      <w:r w:rsidRPr="008971F9">
        <w:rPr>
          <w:b/>
          <w:sz w:val="24"/>
          <w:szCs w:val="24"/>
        </w:rPr>
        <w:t>Estrutura das Apresentações</w:t>
      </w:r>
    </w:p>
    <w:p w:rsidR="00193C98" w:rsidRPr="008971F9" w:rsidRDefault="00193C98">
      <w:pPr>
        <w:tabs>
          <w:tab w:val="left" w:pos="1134"/>
        </w:tabs>
        <w:spacing w:before="120" w:after="120" w:line="360" w:lineRule="auto"/>
        <w:ind w:left="7" w:right="284" w:firstLine="2"/>
        <w:jc w:val="both"/>
        <w:rPr>
          <w:b/>
          <w:bCs/>
          <w:sz w:val="24"/>
          <w:szCs w:val="24"/>
        </w:rPr>
      </w:pPr>
      <w:r w:rsidRPr="008971F9">
        <w:rPr>
          <w:b/>
          <w:bCs/>
          <w:sz w:val="24"/>
          <w:szCs w:val="24"/>
        </w:rPr>
        <w:t xml:space="preserve"> 4.1 - </w:t>
      </w:r>
      <w:r w:rsidRPr="008971F9">
        <w:rPr>
          <w:b/>
          <w:bCs/>
          <w:sz w:val="24"/>
          <w:szCs w:val="24"/>
        </w:rPr>
        <w:tab/>
        <w:t>Tribunal de Contas da União</w:t>
      </w:r>
    </w:p>
    <w:p w:rsidR="00193C98" w:rsidRPr="008971F9" w:rsidRDefault="00193C98">
      <w:pPr>
        <w:tabs>
          <w:tab w:val="left" w:pos="1134"/>
        </w:tabs>
        <w:spacing w:before="120" w:after="120" w:line="360" w:lineRule="auto"/>
        <w:ind w:left="7" w:right="284" w:firstLine="2"/>
        <w:jc w:val="both"/>
        <w:rPr>
          <w:b/>
          <w:sz w:val="24"/>
          <w:szCs w:val="24"/>
          <w:shd w:val="clear" w:color="auto" w:fill="FF0000"/>
        </w:rPr>
      </w:pPr>
      <w:r w:rsidRPr="008971F9">
        <w:rPr>
          <w:sz w:val="24"/>
          <w:szCs w:val="24"/>
        </w:rPr>
        <w:t>Na realização dessa atividade serão explorados temas relacionados às auditorias coordenadas no ensino médio e nas Unidades de Conservação no Bioma Amazônia, com ênfase nos seguintes temas.</w:t>
      </w:r>
    </w:p>
    <w:p w:rsidR="00193C98" w:rsidRPr="008971F9" w:rsidRDefault="00193C98">
      <w:pPr>
        <w:numPr>
          <w:ilvl w:val="0"/>
          <w:numId w:val="5"/>
        </w:numPr>
        <w:tabs>
          <w:tab w:val="left" w:pos="1134"/>
        </w:tabs>
        <w:spacing w:before="120" w:after="120" w:line="360" w:lineRule="auto"/>
        <w:ind w:left="0" w:right="284" w:firstLine="0"/>
        <w:jc w:val="both"/>
        <w:rPr>
          <w:sz w:val="24"/>
          <w:szCs w:val="24"/>
        </w:rPr>
      </w:pPr>
      <w:r w:rsidRPr="008971F9">
        <w:rPr>
          <w:sz w:val="24"/>
          <w:szCs w:val="24"/>
        </w:rPr>
        <w:t>Relevância da atuação por meio de auditorias coordenadas;</w:t>
      </w:r>
    </w:p>
    <w:p w:rsidR="00193C98" w:rsidRPr="008971F9" w:rsidRDefault="00193C98">
      <w:pPr>
        <w:numPr>
          <w:ilvl w:val="0"/>
          <w:numId w:val="5"/>
        </w:numPr>
        <w:tabs>
          <w:tab w:val="left" w:pos="1134"/>
        </w:tabs>
        <w:spacing w:before="120" w:after="120" w:line="360" w:lineRule="auto"/>
        <w:ind w:left="0" w:right="284" w:firstLine="0"/>
        <w:jc w:val="both"/>
        <w:rPr>
          <w:sz w:val="24"/>
          <w:szCs w:val="24"/>
        </w:rPr>
      </w:pPr>
      <w:r w:rsidRPr="008971F9">
        <w:rPr>
          <w:sz w:val="24"/>
          <w:szCs w:val="24"/>
        </w:rPr>
        <w:t>Estratégias de planejamento conjunto dos trabalhos de auditoria;</w:t>
      </w:r>
    </w:p>
    <w:p w:rsidR="00193C98" w:rsidRPr="008971F9" w:rsidRDefault="00193C98">
      <w:pPr>
        <w:numPr>
          <w:ilvl w:val="0"/>
          <w:numId w:val="5"/>
        </w:numPr>
        <w:tabs>
          <w:tab w:val="left" w:pos="1134"/>
        </w:tabs>
        <w:spacing w:before="120" w:after="120" w:line="360" w:lineRule="auto"/>
        <w:ind w:left="0" w:right="284" w:firstLine="0"/>
        <w:jc w:val="both"/>
        <w:rPr>
          <w:b/>
          <w:sz w:val="24"/>
          <w:szCs w:val="24"/>
          <w:shd w:val="clear" w:color="auto" w:fill="FF0000"/>
        </w:rPr>
      </w:pPr>
      <w:r w:rsidRPr="008971F9">
        <w:rPr>
          <w:sz w:val="24"/>
          <w:szCs w:val="24"/>
        </w:rPr>
        <w:t>Organização dos achados de auditoria e consolidação dos dados dos Tribunais de Contas</w:t>
      </w:r>
      <w:r w:rsidR="003F2635" w:rsidRPr="008971F9">
        <w:rPr>
          <w:sz w:val="24"/>
          <w:szCs w:val="24"/>
        </w:rPr>
        <w:t>;</w:t>
      </w:r>
    </w:p>
    <w:p w:rsidR="00193C98" w:rsidRPr="008971F9" w:rsidRDefault="00193C98">
      <w:pPr>
        <w:numPr>
          <w:ilvl w:val="0"/>
          <w:numId w:val="5"/>
        </w:numPr>
        <w:tabs>
          <w:tab w:val="left" w:pos="1134"/>
        </w:tabs>
        <w:spacing w:before="120" w:after="120" w:line="360" w:lineRule="auto"/>
        <w:ind w:left="0" w:right="284" w:firstLine="0"/>
        <w:jc w:val="both"/>
        <w:rPr>
          <w:sz w:val="24"/>
          <w:szCs w:val="24"/>
        </w:rPr>
      </w:pPr>
      <w:r w:rsidRPr="008971F9">
        <w:rPr>
          <w:sz w:val="24"/>
          <w:szCs w:val="24"/>
        </w:rPr>
        <w:t>Resultados preliminares dos trabalhos.</w:t>
      </w:r>
    </w:p>
    <w:p w:rsidR="00193C98" w:rsidRDefault="00193C98">
      <w:pPr>
        <w:numPr>
          <w:ilvl w:val="0"/>
          <w:numId w:val="5"/>
        </w:numPr>
        <w:tabs>
          <w:tab w:val="left" w:pos="1134"/>
        </w:tabs>
        <w:spacing w:before="120" w:after="120" w:line="360" w:lineRule="auto"/>
        <w:ind w:left="0" w:right="284" w:firstLine="0"/>
        <w:jc w:val="both"/>
        <w:rPr>
          <w:sz w:val="24"/>
          <w:szCs w:val="24"/>
        </w:rPr>
      </w:pPr>
      <w:r>
        <w:rPr>
          <w:sz w:val="24"/>
          <w:szCs w:val="24"/>
        </w:rPr>
        <w:lastRenderedPageBreak/>
        <w:t>Boas práticas identificadas no decorrer dos trabalhos (casos de sucesso).</w:t>
      </w:r>
    </w:p>
    <w:p w:rsidR="00193C98" w:rsidRDefault="00193C98">
      <w:pPr>
        <w:tabs>
          <w:tab w:val="left" w:pos="1134"/>
        </w:tabs>
        <w:spacing w:before="120" w:after="120" w:line="360" w:lineRule="auto"/>
        <w:ind w:right="284"/>
        <w:rPr>
          <w:b/>
          <w:sz w:val="24"/>
          <w:szCs w:val="24"/>
        </w:rPr>
      </w:pPr>
      <w:r>
        <w:rPr>
          <w:b/>
          <w:sz w:val="24"/>
          <w:szCs w:val="24"/>
        </w:rPr>
        <w:t xml:space="preserve">4.2 </w:t>
      </w:r>
      <w:r w:rsidRPr="003F2635">
        <w:rPr>
          <w:b/>
          <w:sz w:val="24"/>
          <w:szCs w:val="24"/>
        </w:rPr>
        <w:t>Experiência dos tribunais de contas estaduais e municipais na auditoria coordenada</w:t>
      </w:r>
    </w:p>
    <w:p w:rsidR="00193C98" w:rsidRPr="003F2635" w:rsidRDefault="00193C98">
      <w:pPr>
        <w:tabs>
          <w:tab w:val="left" w:pos="1134"/>
        </w:tabs>
        <w:spacing w:before="120" w:after="120" w:line="360" w:lineRule="auto"/>
        <w:ind w:left="7" w:right="284" w:firstLine="2"/>
        <w:jc w:val="both"/>
        <w:rPr>
          <w:sz w:val="24"/>
          <w:szCs w:val="24"/>
        </w:rPr>
      </w:pPr>
      <w:r>
        <w:rPr>
          <w:sz w:val="24"/>
          <w:szCs w:val="24"/>
        </w:rPr>
        <w:tab/>
      </w:r>
      <w:r w:rsidRPr="003F2635">
        <w:rPr>
          <w:sz w:val="24"/>
          <w:szCs w:val="24"/>
        </w:rPr>
        <w:t>Apresentação por parte de um dos tribunais de contas estaduais ou municipais participantes de uma das auditorias coordenadas sobre sua experiência nesse tipo de trabalho.  Podem ser abordados os seguintes tópicos:</w:t>
      </w:r>
    </w:p>
    <w:p w:rsidR="00193C98" w:rsidRPr="003F2635" w:rsidRDefault="00193C98">
      <w:pPr>
        <w:numPr>
          <w:ilvl w:val="0"/>
          <w:numId w:val="4"/>
        </w:numPr>
        <w:tabs>
          <w:tab w:val="left" w:pos="1134"/>
        </w:tabs>
        <w:spacing w:before="120" w:after="120" w:line="360" w:lineRule="auto"/>
        <w:ind w:left="0" w:right="284" w:firstLine="0"/>
        <w:jc w:val="both"/>
        <w:rPr>
          <w:sz w:val="24"/>
          <w:szCs w:val="24"/>
        </w:rPr>
      </w:pPr>
      <w:r w:rsidRPr="003F2635">
        <w:rPr>
          <w:sz w:val="24"/>
          <w:szCs w:val="24"/>
        </w:rPr>
        <w:t>Relevância da atuação por meio de auditorias coordenadas;</w:t>
      </w:r>
    </w:p>
    <w:p w:rsidR="00193C98" w:rsidRPr="003F2635" w:rsidRDefault="00193C98">
      <w:pPr>
        <w:numPr>
          <w:ilvl w:val="0"/>
          <w:numId w:val="4"/>
        </w:numPr>
        <w:tabs>
          <w:tab w:val="left" w:pos="1134"/>
        </w:tabs>
        <w:spacing w:before="120" w:after="120" w:line="360" w:lineRule="auto"/>
        <w:ind w:left="0" w:right="284" w:firstLine="0"/>
        <w:jc w:val="both"/>
        <w:rPr>
          <w:sz w:val="24"/>
          <w:szCs w:val="24"/>
        </w:rPr>
      </w:pPr>
      <w:r w:rsidRPr="003F2635">
        <w:rPr>
          <w:sz w:val="24"/>
          <w:szCs w:val="24"/>
        </w:rPr>
        <w:t>Papel das auditorias coordenadas como instrumento de capacitação;</w:t>
      </w:r>
    </w:p>
    <w:p w:rsidR="00193C98" w:rsidRPr="003F2635" w:rsidRDefault="00193C98">
      <w:pPr>
        <w:numPr>
          <w:ilvl w:val="0"/>
          <w:numId w:val="4"/>
        </w:numPr>
        <w:tabs>
          <w:tab w:val="left" w:pos="1134"/>
        </w:tabs>
        <w:spacing w:before="120" w:after="120" w:line="360" w:lineRule="auto"/>
        <w:ind w:left="0" w:right="284" w:firstLine="0"/>
        <w:jc w:val="both"/>
        <w:rPr>
          <w:sz w:val="24"/>
          <w:szCs w:val="24"/>
        </w:rPr>
      </w:pPr>
      <w:r w:rsidRPr="003F2635">
        <w:rPr>
          <w:sz w:val="24"/>
          <w:szCs w:val="24"/>
        </w:rPr>
        <w:t>Resultados preliminares dos trabalhos do tribunal; e</w:t>
      </w:r>
    </w:p>
    <w:p w:rsidR="00193C98" w:rsidRPr="003F2635" w:rsidRDefault="00193C98">
      <w:pPr>
        <w:numPr>
          <w:ilvl w:val="0"/>
          <w:numId w:val="4"/>
        </w:numPr>
        <w:tabs>
          <w:tab w:val="left" w:pos="1134"/>
        </w:tabs>
        <w:spacing w:before="120" w:after="120" w:line="360" w:lineRule="auto"/>
        <w:ind w:left="0" w:right="284" w:firstLine="0"/>
        <w:jc w:val="both"/>
        <w:rPr>
          <w:sz w:val="24"/>
          <w:szCs w:val="24"/>
        </w:rPr>
      </w:pPr>
      <w:r w:rsidRPr="003F2635">
        <w:rPr>
          <w:sz w:val="24"/>
          <w:szCs w:val="24"/>
        </w:rPr>
        <w:t>Boas práticas identificadas no decorrer dos trabalhos (casos de sucesso).</w:t>
      </w:r>
    </w:p>
    <w:p w:rsidR="00193C98" w:rsidRPr="003F2635" w:rsidRDefault="00193C98">
      <w:pPr>
        <w:tabs>
          <w:tab w:val="left" w:pos="1134"/>
        </w:tabs>
        <w:spacing w:before="120" w:after="120" w:line="360" w:lineRule="auto"/>
        <w:jc w:val="both"/>
        <w:rPr>
          <w:b/>
          <w:bCs/>
          <w:sz w:val="24"/>
          <w:szCs w:val="24"/>
        </w:rPr>
      </w:pPr>
      <w:r w:rsidRPr="003F2635">
        <w:rPr>
          <w:b/>
          <w:bCs/>
          <w:sz w:val="24"/>
          <w:szCs w:val="24"/>
        </w:rPr>
        <w:t>4.3 – Instituto Rui Barbosa – Comitê de Auditoria/Grupo Temático de Auditoria Operacional</w:t>
      </w:r>
    </w:p>
    <w:p w:rsidR="00193C98" w:rsidRDefault="003F2635" w:rsidP="003F2635">
      <w:pPr>
        <w:tabs>
          <w:tab w:val="left" w:pos="1134"/>
        </w:tabs>
        <w:spacing w:before="120" w:after="120" w:line="360" w:lineRule="auto"/>
        <w:ind w:left="7" w:right="284" w:firstLine="2"/>
        <w:jc w:val="both"/>
        <w:rPr>
          <w:sz w:val="24"/>
          <w:szCs w:val="24"/>
        </w:rPr>
      </w:pPr>
      <w:r>
        <w:rPr>
          <w:sz w:val="24"/>
          <w:szCs w:val="24"/>
        </w:rPr>
        <w:tab/>
      </w:r>
      <w:r w:rsidR="00193C98" w:rsidRPr="003F2635">
        <w:rPr>
          <w:sz w:val="24"/>
          <w:szCs w:val="24"/>
        </w:rPr>
        <w:t xml:space="preserve">Além desses temas, </w:t>
      </w:r>
      <w:r>
        <w:rPr>
          <w:sz w:val="24"/>
          <w:szCs w:val="24"/>
        </w:rPr>
        <w:t>s</w:t>
      </w:r>
      <w:r w:rsidR="00193C98" w:rsidRPr="003F2635">
        <w:rPr>
          <w:sz w:val="24"/>
          <w:szCs w:val="24"/>
        </w:rPr>
        <w:t>erão apresentadas</w:t>
      </w:r>
      <w:r w:rsidR="00193C98">
        <w:rPr>
          <w:sz w:val="24"/>
          <w:szCs w:val="24"/>
        </w:rPr>
        <w:t xml:space="preserve"> as experiências </w:t>
      </w:r>
      <w:r w:rsidR="00193C98" w:rsidRPr="003F2635">
        <w:rPr>
          <w:sz w:val="24"/>
          <w:szCs w:val="24"/>
        </w:rPr>
        <w:t xml:space="preserve">do IRB, por intermédio do Grupo Temático de Auditoria Operacional, </w:t>
      </w:r>
      <w:r w:rsidR="00193C98">
        <w:rPr>
          <w:sz w:val="24"/>
          <w:szCs w:val="24"/>
        </w:rPr>
        <w:t xml:space="preserve">na condução de trabalhos na área de auditoria operacional e as perspectivas para a continuidade e aprimoramento desse tipo de ação. </w:t>
      </w:r>
    </w:p>
    <w:p w:rsidR="00193C98" w:rsidRDefault="00193C98">
      <w:pPr>
        <w:numPr>
          <w:ilvl w:val="0"/>
          <w:numId w:val="2"/>
        </w:numPr>
        <w:tabs>
          <w:tab w:val="left" w:pos="1134"/>
        </w:tabs>
        <w:spacing w:before="120" w:after="120" w:line="360" w:lineRule="auto"/>
        <w:ind w:left="0" w:right="284" w:firstLine="0"/>
        <w:rPr>
          <w:b/>
          <w:sz w:val="24"/>
          <w:szCs w:val="24"/>
        </w:rPr>
      </w:pPr>
      <w:r>
        <w:rPr>
          <w:b/>
          <w:sz w:val="24"/>
          <w:szCs w:val="24"/>
        </w:rPr>
        <w:t>Palestrantes</w:t>
      </w:r>
    </w:p>
    <w:p w:rsidR="00193C98" w:rsidRDefault="00C640EB" w:rsidP="000268A7">
      <w:pPr>
        <w:pStyle w:val="Alneas"/>
        <w:numPr>
          <w:ilvl w:val="0"/>
          <w:numId w:val="6"/>
        </w:numPr>
        <w:spacing w:before="120" w:after="120"/>
        <w:ind w:left="714" w:right="284" w:hanging="357"/>
      </w:pPr>
      <w:r>
        <w:t>Marcelo Bemerguy</w:t>
      </w:r>
      <w:r w:rsidR="007E568B">
        <w:t xml:space="preserve"> (2</w:t>
      </w:r>
      <w:r w:rsidR="00193C98">
        <w:t>0 min) – representante da Secretaria de Controle Externo da Educação, da Cultura e do Desporto (TCU);</w:t>
      </w:r>
    </w:p>
    <w:p w:rsidR="007E568B" w:rsidRDefault="007E568B" w:rsidP="007E568B">
      <w:pPr>
        <w:pStyle w:val="Alneas"/>
        <w:numPr>
          <w:ilvl w:val="0"/>
          <w:numId w:val="6"/>
        </w:numPr>
        <w:spacing w:before="120" w:after="120"/>
        <w:ind w:left="714" w:right="284" w:hanging="357"/>
      </w:pPr>
      <w:r>
        <w:t>A definir (2</w:t>
      </w:r>
      <w:r w:rsidR="00193C98">
        <w:t>0 min) – representante da Secretaria de Controle Externo da Agricultura e do Meio ambiente (TCU);</w:t>
      </w:r>
    </w:p>
    <w:p w:rsidR="00193C98" w:rsidRDefault="00602868" w:rsidP="000268A7">
      <w:pPr>
        <w:pStyle w:val="Alneas"/>
        <w:numPr>
          <w:ilvl w:val="0"/>
          <w:numId w:val="6"/>
        </w:numPr>
        <w:spacing w:before="120" w:after="120"/>
        <w:ind w:left="714" w:right="284" w:hanging="357"/>
      </w:pPr>
      <w:r>
        <w:t>A definir (20 min) – r</w:t>
      </w:r>
      <w:r w:rsidR="00193C98">
        <w:t xml:space="preserve">epresentante de um tribunal de contas estadual </w:t>
      </w:r>
      <w:r>
        <w:t xml:space="preserve">– </w:t>
      </w:r>
      <w:r w:rsidR="00193C98">
        <w:t>A experiência do TCE/</w:t>
      </w:r>
      <w:r w:rsidR="006D2732">
        <w:t>RN</w:t>
      </w:r>
      <w:r w:rsidR="00193C98">
        <w:t xml:space="preserve"> na auditoria coordenada no Ensino Médio;</w:t>
      </w:r>
    </w:p>
    <w:p w:rsidR="00193C98" w:rsidRDefault="00602868" w:rsidP="000268A7">
      <w:pPr>
        <w:pStyle w:val="Alneas"/>
        <w:numPr>
          <w:ilvl w:val="0"/>
          <w:numId w:val="6"/>
        </w:numPr>
        <w:spacing w:before="120" w:after="120"/>
        <w:ind w:left="714" w:right="284" w:hanging="357"/>
      </w:pPr>
      <w:r>
        <w:t>A definir (20 min) – r</w:t>
      </w:r>
      <w:r w:rsidR="00193C98">
        <w:t xml:space="preserve">epresentante de um tribunal de contas estadual </w:t>
      </w:r>
      <w:r>
        <w:t xml:space="preserve">– </w:t>
      </w:r>
      <w:r w:rsidR="00193C98">
        <w:t>A experiência do TCE/AM na auditoria coordenada em Unidades de Conservação no Bioma Amazônia</w:t>
      </w:r>
      <w:r w:rsidR="007E568B">
        <w:t>;</w:t>
      </w:r>
    </w:p>
    <w:p w:rsidR="007E568B" w:rsidRDefault="00523E4A" w:rsidP="007E568B">
      <w:pPr>
        <w:pStyle w:val="Alneas"/>
        <w:numPr>
          <w:ilvl w:val="0"/>
          <w:numId w:val="6"/>
        </w:numPr>
        <w:spacing w:before="120" w:after="120"/>
        <w:ind w:left="714" w:right="284" w:hanging="357"/>
      </w:pPr>
      <w:r>
        <w:t>Conselheiro-Substituto Luiz Henrique Lima</w:t>
      </w:r>
      <w:r w:rsidR="007E568B">
        <w:t xml:space="preserve"> (20 min) – representante de u</w:t>
      </w:r>
      <w:r w:rsidR="00602868">
        <w:t xml:space="preserve">m tribunal de contas estadual – </w:t>
      </w:r>
      <w:r w:rsidR="007E568B">
        <w:t>Apresentaçã</w:t>
      </w:r>
      <w:r w:rsidR="007E568B" w:rsidRPr="007E568B">
        <w:t>o dos resultados da auditoria em U</w:t>
      </w:r>
      <w:r w:rsidR="007E568B">
        <w:t>nidades de Conservação no Mato Grosso</w:t>
      </w:r>
      <w:r>
        <w:t xml:space="preserve"> (TCE/MT)</w:t>
      </w:r>
      <w:r w:rsidR="007E568B">
        <w:t>;</w:t>
      </w:r>
    </w:p>
    <w:p w:rsidR="00193C98" w:rsidRPr="003F2635" w:rsidRDefault="00602868" w:rsidP="000268A7">
      <w:pPr>
        <w:pStyle w:val="Alneas"/>
        <w:numPr>
          <w:ilvl w:val="0"/>
          <w:numId w:val="6"/>
        </w:numPr>
        <w:spacing w:before="120" w:after="120"/>
        <w:ind w:left="714" w:right="284" w:hanging="357"/>
      </w:pPr>
      <w:r>
        <w:t>Vivaldo Ribeiro (15min) – r</w:t>
      </w:r>
      <w:r w:rsidR="00193C98" w:rsidRPr="003F2635">
        <w:t xml:space="preserve">epresentante do Grupo de Auditoria Operacional (GAO) </w:t>
      </w:r>
      <w:r>
        <w:t xml:space="preserve">– </w:t>
      </w:r>
      <w:r w:rsidR="00193C98" w:rsidRPr="003F2635">
        <w:t>A sustentabilidade das aud</w:t>
      </w:r>
      <w:r w:rsidR="003F2635">
        <w:t>i</w:t>
      </w:r>
      <w:r w:rsidR="00193C98" w:rsidRPr="003F2635">
        <w:t>torias operacionais nos Tribunais de Contas.</w:t>
      </w:r>
    </w:p>
    <w:p w:rsidR="00193C98" w:rsidRDefault="00193C98">
      <w:pPr>
        <w:numPr>
          <w:ilvl w:val="0"/>
          <w:numId w:val="2"/>
        </w:numPr>
        <w:tabs>
          <w:tab w:val="left" w:pos="1134"/>
        </w:tabs>
        <w:spacing w:before="120" w:after="120" w:line="360" w:lineRule="auto"/>
        <w:ind w:left="0" w:right="284" w:firstLine="0"/>
        <w:rPr>
          <w:b/>
          <w:sz w:val="24"/>
          <w:szCs w:val="24"/>
        </w:rPr>
      </w:pPr>
      <w:r>
        <w:rPr>
          <w:b/>
          <w:sz w:val="24"/>
          <w:szCs w:val="24"/>
        </w:rPr>
        <w:t>Coordenador</w:t>
      </w:r>
      <w:r w:rsidR="000268A7">
        <w:rPr>
          <w:b/>
          <w:sz w:val="24"/>
          <w:szCs w:val="24"/>
        </w:rPr>
        <w:t>a</w:t>
      </w:r>
      <w:r>
        <w:rPr>
          <w:b/>
          <w:sz w:val="24"/>
          <w:szCs w:val="24"/>
        </w:rPr>
        <w:t xml:space="preserve"> da mesa</w:t>
      </w:r>
    </w:p>
    <w:p w:rsidR="00193C98" w:rsidRDefault="003F2635">
      <w:pPr>
        <w:tabs>
          <w:tab w:val="left" w:pos="1134"/>
        </w:tabs>
        <w:spacing w:before="120" w:after="120" w:line="360" w:lineRule="auto"/>
        <w:ind w:left="7" w:right="284" w:firstLine="2"/>
        <w:jc w:val="both"/>
        <w:rPr>
          <w:sz w:val="24"/>
          <w:szCs w:val="24"/>
        </w:rPr>
      </w:pPr>
      <w:r>
        <w:rPr>
          <w:sz w:val="24"/>
          <w:szCs w:val="24"/>
        </w:rPr>
        <w:tab/>
        <w:t xml:space="preserve">Conselheira </w:t>
      </w:r>
      <w:r w:rsidR="00193C98">
        <w:rPr>
          <w:sz w:val="24"/>
          <w:szCs w:val="24"/>
        </w:rPr>
        <w:t>Marisa Serrano (TCE/MS)</w:t>
      </w:r>
    </w:p>
    <w:p w:rsidR="00193C98" w:rsidRDefault="00193C98">
      <w:pPr>
        <w:numPr>
          <w:ilvl w:val="0"/>
          <w:numId w:val="2"/>
        </w:numPr>
        <w:tabs>
          <w:tab w:val="left" w:pos="1134"/>
        </w:tabs>
        <w:spacing w:before="120" w:after="120" w:line="360" w:lineRule="auto"/>
        <w:ind w:left="0" w:right="284" w:firstLine="0"/>
        <w:rPr>
          <w:b/>
          <w:sz w:val="24"/>
          <w:szCs w:val="24"/>
        </w:rPr>
      </w:pPr>
      <w:r>
        <w:rPr>
          <w:b/>
          <w:sz w:val="24"/>
          <w:szCs w:val="24"/>
        </w:rPr>
        <w:t>Equipamentos e demais recursos necessários</w:t>
      </w:r>
    </w:p>
    <w:p w:rsidR="00193C98" w:rsidRPr="003F2635" w:rsidRDefault="003F2635" w:rsidP="003F2635">
      <w:pPr>
        <w:tabs>
          <w:tab w:val="left" w:pos="1134"/>
        </w:tabs>
        <w:spacing w:before="120" w:after="120" w:line="360" w:lineRule="auto"/>
        <w:ind w:left="7" w:right="284" w:firstLine="2"/>
        <w:jc w:val="both"/>
        <w:rPr>
          <w:sz w:val="24"/>
          <w:szCs w:val="24"/>
        </w:rPr>
      </w:pPr>
      <w:r>
        <w:rPr>
          <w:sz w:val="24"/>
          <w:szCs w:val="24"/>
        </w:rPr>
        <w:tab/>
      </w:r>
      <w:r w:rsidRPr="003F2635">
        <w:rPr>
          <w:sz w:val="24"/>
          <w:szCs w:val="24"/>
        </w:rPr>
        <w:t>Nas apresentações serão utilizados os seguintes recursos: c</w:t>
      </w:r>
      <w:r w:rsidR="00193C98" w:rsidRPr="003F2635">
        <w:rPr>
          <w:sz w:val="24"/>
          <w:szCs w:val="24"/>
        </w:rPr>
        <w:t>omputador com acesso à internet;</w:t>
      </w:r>
      <w:r w:rsidRPr="003F2635">
        <w:rPr>
          <w:sz w:val="24"/>
          <w:szCs w:val="24"/>
        </w:rPr>
        <w:t xml:space="preserve"> data show e laser pointer.</w:t>
      </w:r>
    </w:p>
    <w:sectPr w:rsidR="00193C98" w:rsidRPr="003F2635" w:rsidSect="005830EF">
      <w:headerReference w:type="default" r:id="rId7"/>
      <w:footerReference w:type="default" r:id="rId8"/>
      <w:pgSz w:w="11906" w:h="16838"/>
      <w:pgMar w:top="1871" w:right="567" w:bottom="850" w:left="1417" w:header="850"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B6" w:rsidRDefault="00C555B6">
      <w:r>
        <w:separator/>
      </w:r>
    </w:p>
  </w:endnote>
  <w:endnote w:type="continuationSeparator" w:id="1">
    <w:p w:rsidR="00C555B6" w:rsidRDefault="00C55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98" w:rsidRDefault="00765C17">
    <w:pPr>
      <w:pStyle w:val="Rodap"/>
      <w:tabs>
        <w:tab w:val="right" w:pos="9638"/>
      </w:tabs>
      <w:rPr>
        <w:sz w:val="12"/>
        <w:szCs w:val="14"/>
      </w:rPr>
    </w:pPr>
    <w:r w:rsidRPr="00765C17">
      <w:pict>
        <v:line id="LinhaRodape" o:spid="_x0000_s1028" style="position:absolute;z-index:-251657216;mso-position-horizontal-relative:margin" from="0,-3.95pt" to="481.9pt,-3.95pt" strokeweight=".26mm">
          <v:stroke joinstyle="miter"/>
          <w10:wrap anchorx="margin"/>
        </v:line>
      </w:pict>
    </w:r>
    <w:r w:rsidR="00193C98">
      <w:rPr>
        <w:sz w:val="12"/>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B6" w:rsidRDefault="00C555B6">
      <w:r>
        <w:separator/>
      </w:r>
    </w:p>
  </w:footnote>
  <w:footnote w:type="continuationSeparator" w:id="1">
    <w:p w:rsidR="00C555B6" w:rsidRDefault="00C55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98" w:rsidRDefault="007E568B">
    <w:pPr>
      <w:pStyle w:val="Cabealho"/>
    </w:pPr>
    <w:r>
      <w:rPr>
        <w:noProof/>
        <w:lang w:eastAsia="pt-BR"/>
      </w:rPr>
      <w:drawing>
        <wp:anchor distT="0" distB="0" distL="114935" distR="114935" simplePos="0" relativeHeight="251656192" behindDoc="1" locked="0" layoutInCell="1" allowOverlap="1">
          <wp:simplePos x="0" y="0"/>
          <wp:positionH relativeFrom="column">
            <wp:posOffset>-45085</wp:posOffset>
          </wp:positionH>
          <wp:positionV relativeFrom="paragraph">
            <wp:posOffset>-112395</wp:posOffset>
          </wp:positionV>
          <wp:extent cx="587375" cy="546100"/>
          <wp:effectExtent l="1905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7375" cy="546100"/>
                  </a:xfrm>
                  <a:prstGeom prst="rect">
                    <a:avLst/>
                  </a:prstGeom>
                  <a:solidFill>
                    <a:srgbClr val="FFFFFF"/>
                  </a:solidFill>
                  <a:ln w="9525">
                    <a:noFill/>
                    <a:miter lim="800000"/>
                    <a:headEnd/>
                    <a:tailEnd/>
                  </a:ln>
                </pic:spPr>
              </pic:pic>
            </a:graphicData>
          </a:graphic>
        </wp:anchor>
      </w:drawing>
    </w:r>
    <w:r w:rsidR="00765C17">
      <w:pict>
        <v:line id="_x0000_s1026" style="position:absolute;z-index:-251659264;mso-position-horizontal-relative:margin;mso-position-vertical-relative:text" from="0,45.35pt" to="481.9pt,45.35pt" strokeweight=".26mm">
          <v:stroke joinstyle="miter"/>
          <w10:wrap anchorx="margin"/>
        </v:line>
      </w:pict>
    </w:r>
    <w:r w:rsidR="00765C17">
      <w:pict>
        <v:shapetype id="_x0000_t202" coordsize="21600,21600" o:spt="202" path="m,l,21600r21600,l21600,xe">
          <v:stroke joinstyle="miter"/>
          <v:path gradientshapeok="t" o:connecttype="rect"/>
        </v:shapetype>
        <v:shape id="_x0000_s1027" type="#_x0000_t202" style="position:absolute;margin-left:43.1pt;margin-top:18.25pt;width:442.7pt;height:67.3pt;z-index:-251658240;mso-wrap-distance-left:9.05pt;mso-wrap-distance-right:9.05pt;mso-position-horizontal-relative:margin;mso-position-vertical-relative:page" stroked="f">
          <v:fill color2="black"/>
          <v:textbox inset="0,0,0,0">
            <w:txbxContent>
              <w:p w:rsidR="00193C98" w:rsidRDefault="00765C17">
                <w:pPr>
                  <w:jc w:val="right"/>
                  <w:rPr>
                    <w:rFonts w:ascii="Arial" w:hAnsi="Arial" w:cs="Arial"/>
                    <w:b/>
                  </w:rPr>
                </w:pPr>
                <w:r>
                  <w:fldChar w:fldCharType="begin"/>
                </w:r>
                <w:r w:rsidR="00193C98">
                  <w:instrText xml:space="preserve"> PAGE </w:instrText>
                </w:r>
                <w:r>
                  <w:fldChar w:fldCharType="separate"/>
                </w:r>
                <w:r w:rsidR="00926605">
                  <w:rPr>
                    <w:noProof/>
                  </w:rPr>
                  <w:t>3</w:t>
                </w:r>
                <w:r>
                  <w:fldChar w:fldCharType="end"/>
                </w:r>
              </w:p>
              <w:p w:rsidR="00193C98" w:rsidRDefault="00193C98">
                <w:pPr>
                  <w:rPr>
                    <w:rFonts w:ascii="Arial" w:hAnsi="Arial" w:cs="Arial"/>
                    <w:b/>
                  </w:rPr>
                </w:pPr>
                <w:r>
                  <w:rPr>
                    <w:rFonts w:ascii="Arial" w:hAnsi="Arial" w:cs="Arial"/>
                    <w:b/>
                  </w:rPr>
                  <w:t>TRIBUNAL DE CONTAS DA UNIÃO</w:t>
                </w:r>
              </w:p>
              <w:p w:rsidR="00193C98" w:rsidRDefault="00193C98">
                <w:pPr>
                  <w:rPr>
                    <w:rFonts w:ascii="Arial" w:hAnsi="Arial" w:cs="Arial"/>
                    <w:b/>
                    <w:sz w:val="18"/>
                    <w:szCs w:val="18"/>
                  </w:rPr>
                </w:pPr>
                <w:r>
                  <w:rPr>
                    <w:rFonts w:ascii="Arial" w:hAnsi="Arial" w:cs="Arial"/>
                    <w:b/>
                    <w:sz w:val="18"/>
                    <w:szCs w:val="18"/>
                  </w:rPr>
                  <w:t>Secretaria-Geral de Controle Externo</w:t>
                </w:r>
              </w:p>
              <w:p w:rsidR="00193C98" w:rsidRDefault="00193C98">
                <w:pPr>
                  <w:rPr>
                    <w:rFonts w:ascii="Arial" w:hAnsi="Arial" w:cs="Arial"/>
                    <w:b/>
                  </w:rPr>
                </w:pPr>
                <w:r>
                  <w:rPr>
                    <w:rFonts w:ascii="Arial" w:hAnsi="Arial" w:cs="Arial"/>
                    <w:b/>
                  </w:rPr>
                  <w:t>Secretaria de Controle Externo da Educação, da Cultura e do Desporto</w:t>
                </w:r>
              </w:p>
              <w:p w:rsidR="00193C98" w:rsidRDefault="00193C98">
                <w:pPr>
                  <w:rPr>
                    <w:rFonts w:ascii="Arial" w:hAnsi="Arial" w:cs="Arial"/>
                    <w:b/>
                  </w:rPr>
                </w:pPr>
                <w:r>
                  <w:rPr>
                    <w:rFonts w:ascii="Arial" w:hAnsi="Arial" w:cs="Arial"/>
                    <w:b/>
                  </w:rPr>
                  <w:t>Secretaria de Controle Externo da Agricultura e do Meio Ambiente</w:t>
                </w:r>
              </w:p>
              <w:p w:rsidR="00193C98" w:rsidRDefault="00193C98"/>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12"/>
    <w:lvl w:ilvl="0">
      <w:start w:val="1"/>
      <w:numFmt w:val="lowerLetter"/>
      <w:lvlText w:val="%1)"/>
      <w:lvlJc w:val="left"/>
      <w:pPr>
        <w:tabs>
          <w:tab w:val="num" w:pos="0"/>
        </w:tabs>
        <w:ind w:left="1080" w:hanging="360"/>
      </w:pPr>
    </w:lvl>
  </w:abstractNum>
  <w:abstractNum w:abstractNumId="4">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5">
    <w:nsid w:val="50DC3B62"/>
    <w:multiLevelType w:val="hybridMultilevel"/>
    <w:tmpl w:val="BEDCA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F2635"/>
    <w:rsid w:val="000268A7"/>
    <w:rsid w:val="00095843"/>
    <w:rsid w:val="00152CA9"/>
    <w:rsid w:val="00193C98"/>
    <w:rsid w:val="003F2635"/>
    <w:rsid w:val="00523E4A"/>
    <w:rsid w:val="005830EF"/>
    <w:rsid w:val="00602868"/>
    <w:rsid w:val="006D2732"/>
    <w:rsid w:val="00765C17"/>
    <w:rsid w:val="007E568B"/>
    <w:rsid w:val="00822511"/>
    <w:rsid w:val="008971F9"/>
    <w:rsid w:val="00926605"/>
    <w:rsid w:val="00A06630"/>
    <w:rsid w:val="00C555B6"/>
    <w:rsid w:val="00C640EB"/>
    <w:rsid w:val="00D60564"/>
    <w:rsid w:val="00E651D4"/>
    <w:rsid w:val="00F17C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F"/>
    <w:pPr>
      <w:suppressAutoHyphens/>
    </w:pPr>
    <w:rPr>
      <w:lang w:eastAsia="ar-SA"/>
    </w:rPr>
  </w:style>
  <w:style w:type="paragraph" w:styleId="Ttulo1">
    <w:name w:val="heading 1"/>
    <w:basedOn w:val="Normal"/>
    <w:next w:val="Normal"/>
    <w:qFormat/>
    <w:rsid w:val="005830EF"/>
    <w:pPr>
      <w:keepNext/>
      <w:numPr>
        <w:numId w:val="1"/>
      </w:numPr>
      <w:outlineLvl w:val="0"/>
    </w:pPr>
    <w:rPr>
      <w:rFonts w:ascii="Arial" w:hAnsi="Arial"/>
      <w:b/>
      <w:sz w:val="28"/>
    </w:rPr>
  </w:style>
  <w:style w:type="paragraph" w:styleId="Ttulo3">
    <w:name w:val="heading 3"/>
    <w:basedOn w:val="Normal"/>
    <w:next w:val="Normal"/>
    <w:qFormat/>
    <w:rsid w:val="005830EF"/>
    <w:pPr>
      <w:keepNext/>
      <w:numPr>
        <w:ilvl w:val="2"/>
        <w:numId w:val="1"/>
      </w:numPr>
      <w:jc w:val="both"/>
      <w:outlineLvl w:val="2"/>
    </w:pPr>
    <w:rPr>
      <w:sz w:val="24"/>
    </w:rPr>
  </w:style>
  <w:style w:type="paragraph" w:styleId="Ttulo4">
    <w:name w:val="heading 4"/>
    <w:basedOn w:val="Normal"/>
    <w:next w:val="Normal"/>
    <w:qFormat/>
    <w:rsid w:val="005830EF"/>
    <w:pPr>
      <w:keepNext/>
      <w:numPr>
        <w:ilvl w:val="3"/>
        <w:numId w:val="1"/>
      </w:numPr>
      <w:jc w:val="center"/>
      <w:outlineLvl w:val="3"/>
    </w:pPr>
    <w:rPr>
      <w:rFonts w:ascii="Arial" w:hAnsi="Arial"/>
      <w:b/>
      <w:sz w:val="32"/>
    </w:rPr>
  </w:style>
  <w:style w:type="paragraph" w:styleId="Ttulo5">
    <w:name w:val="heading 5"/>
    <w:basedOn w:val="Normal"/>
    <w:next w:val="Normal"/>
    <w:qFormat/>
    <w:rsid w:val="005830EF"/>
    <w:pPr>
      <w:keepNext/>
      <w:numPr>
        <w:ilvl w:val="4"/>
        <w:numId w:val="1"/>
      </w:numPr>
      <w:jc w:val="center"/>
      <w:outlineLvl w:val="4"/>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6z1">
    <w:name w:val="WW8Num6z1"/>
    <w:rsid w:val="005830EF"/>
    <w:rPr>
      <w:rFonts w:ascii="Times New Roman" w:eastAsia="Times New Roman" w:hAnsi="Times New Roman" w:cs="Times New Roman"/>
    </w:rPr>
  </w:style>
  <w:style w:type="character" w:customStyle="1" w:styleId="WW8Num15z0">
    <w:name w:val="WW8Num15z0"/>
    <w:rsid w:val="005830EF"/>
    <w:rPr>
      <w:rFonts w:ascii="Times New Roman" w:hAnsi="Times New Roman" w:cs="Times New Roman"/>
      <w:b w:val="0"/>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style>
  <w:style w:type="character" w:customStyle="1" w:styleId="Fontepargpadro1">
    <w:name w:val="Fonte parág. padrão1"/>
    <w:rsid w:val="005830EF"/>
  </w:style>
  <w:style w:type="character" w:styleId="Hyperlink">
    <w:name w:val="Hyperlink"/>
    <w:rsid w:val="005830EF"/>
    <w:rPr>
      <w:color w:val="0000FF"/>
      <w:u w:val="single"/>
    </w:rPr>
  </w:style>
  <w:style w:type="character" w:customStyle="1" w:styleId="RodapChar">
    <w:name w:val="Rodapé Char"/>
    <w:basedOn w:val="Fontepargpadro1"/>
    <w:rsid w:val="005830EF"/>
  </w:style>
  <w:style w:type="character" w:customStyle="1" w:styleId="CabealhoChar">
    <w:name w:val="Cabeçalho Char"/>
    <w:rsid w:val="005830EF"/>
    <w:rPr>
      <w:sz w:val="24"/>
    </w:rPr>
  </w:style>
  <w:style w:type="character" w:customStyle="1" w:styleId="TextodebaloChar">
    <w:name w:val="Texto de balão Char"/>
    <w:rsid w:val="005830EF"/>
    <w:rPr>
      <w:rFonts w:ascii="Tahoma" w:hAnsi="Tahoma" w:cs="Tahoma"/>
      <w:sz w:val="16"/>
      <w:szCs w:val="16"/>
    </w:rPr>
  </w:style>
  <w:style w:type="character" w:customStyle="1" w:styleId="Refdecomentrio1">
    <w:name w:val="Ref. de comentário1"/>
    <w:rsid w:val="005830EF"/>
    <w:rPr>
      <w:sz w:val="16"/>
      <w:szCs w:val="16"/>
    </w:rPr>
  </w:style>
  <w:style w:type="character" w:customStyle="1" w:styleId="TextodecomentrioChar">
    <w:name w:val="Texto de comentário Char"/>
    <w:basedOn w:val="Fontepargpadro1"/>
    <w:rsid w:val="005830EF"/>
  </w:style>
  <w:style w:type="character" w:customStyle="1" w:styleId="AssuntodocomentrioChar">
    <w:name w:val="Assunto do comentário Char"/>
    <w:rsid w:val="005830EF"/>
    <w:rPr>
      <w:b/>
      <w:bCs/>
    </w:rPr>
  </w:style>
  <w:style w:type="character" w:customStyle="1" w:styleId="Ttulo1Char">
    <w:name w:val="Título 1 Char"/>
    <w:rsid w:val="005830EF"/>
    <w:rPr>
      <w:rFonts w:ascii="Arial" w:hAnsi="Arial"/>
      <w:b/>
      <w:sz w:val="28"/>
    </w:rPr>
  </w:style>
  <w:style w:type="character" w:customStyle="1" w:styleId="Ttulo5Char">
    <w:name w:val="Título 5 Char"/>
    <w:rsid w:val="005830EF"/>
    <w:rPr>
      <w:rFonts w:ascii="Arial" w:hAnsi="Arial"/>
      <w:b/>
      <w:sz w:val="24"/>
    </w:rPr>
  </w:style>
  <w:style w:type="paragraph" w:customStyle="1" w:styleId="Ttulo10">
    <w:name w:val="Título1"/>
    <w:basedOn w:val="Normal"/>
    <w:next w:val="Corpodetexto"/>
    <w:rsid w:val="005830EF"/>
    <w:pPr>
      <w:keepNext/>
      <w:spacing w:before="240" w:after="120"/>
    </w:pPr>
    <w:rPr>
      <w:rFonts w:ascii="Arial" w:eastAsia="SimSun" w:hAnsi="Arial" w:cs="Mangal"/>
      <w:sz w:val="28"/>
      <w:szCs w:val="28"/>
    </w:rPr>
  </w:style>
  <w:style w:type="paragraph" w:styleId="Corpodetexto">
    <w:name w:val="Body Text"/>
    <w:basedOn w:val="Normal"/>
    <w:rsid w:val="005830EF"/>
    <w:pPr>
      <w:widowControl w:val="0"/>
      <w:spacing w:line="228" w:lineRule="auto"/>
      <w:jc w:val="both"/>
    </w:pPr>
    <w:rPr>
      <w:b/>
    </w:rPr>
  </w:style>
  <w:style w:type="paragraph" w:styleId="Lista">
    <w:name w:val="List"/>
    <w:basedOn w:val="Corpodetexto"/>
    <w:rsid w:val="005830EF"/>
    <w:rPr>
      <w:rFonts w:cs="Mangal"/>
    </w:rPr>
  </w:style>
  <w:style w:type="paragraph" w:customStyle="1" w:styleId="Legenda1">
    <w:name w:val="Legenda1"/>
    <w:basedOn w:val="Normal"/>
    <w:rsid w:val="005830EF"/>
    <w:pPr>
      <w:suppressLineNumbers/>
      <w:spacing w:before="120" w:after="120"/>
    </w:pPr>
    <w:rPr>
      <w:rFonts w:cs="Mangal"/>
      <w:i/>
      <w:iCs/>
      <w:sz w:val="24"/>
      <w:szCs w:val="24"/>
    </w:rPr>
  </w:style>
  <w:style w:type="paragraph" w:customStyle="1" w:styleId="ndice">
    <w:name w:val="Índice"/>
    <w:basedOn w:val="Normal"/>
    <w:rsid w:val="005830EF"/>
    <w:pPr>
      <w:suppressLineNumbers/>
    </w:pPr>
    <w:rPr>
      <w:rFonts w:cs="Mangal"/>
    </w:rPr>
  </w:style>
  <w:style w:type="paragraph" w:styleId="Ttulo">
    <w:name w:val="Title"/>
    <w:basedOn w:val="Normal"/>
    <w:next w:val="Subttulo"/>
    <w:qFormat/>
    <w:rsid w:val="005830EF"/>
    <w:pPr>
      <w:jc w:val="center"/>
    </w:pPr>
    <w:rPr>
      <w:rFonts w:ascii="Arial" w:hAnsi="Arial"/>
      <w:b/>
      <w:sz w:val="24"/>
    </w:rPr>
  </w:style>
  <w:style w:type="paragraph" w:styleId="Subttulo">
    <w:name w:val="Subtitle"/>
    <w:basedOn w:val="Ttulo10"/>
    <w:next w:val="Corpodetexto"/>
    <w:qFormat/>
    <w:rsid w:val="005830EF"/>
    <w:pPr>
      <w:jc w:val="center"/>
    </w:pPr>
    <w:rPr>
      <w:i/>
      <w:iCs/>
    </w:rPr>
  </w:style>
  <w:style w:type="paragraph" w:styleId="Cabealho">
    <w:name w:val="header"/>
    <w:basedOn w:val="Normal"/>
    <w:rsid w:val="005830EF"/>
    <w:rPr>
      <w:sz w:val="24"/>
    </w:rPr>
  </w:style>
  <w:style w:type="paragraph" w:styleId="Recuodecorpodetexto">
    <w:name w:val="Body Text Indent"/>
    <w:basedOn w:val="Normal"/>
    <w:rsid w:val="005830EF"/>
    <w:pPr>
      <w:jc w:val="center"/>
    </w:pPr>
    <w:rPr>
      <w:sz w:val="24"/>
    </w:rPr>
  </w:style>
  <w:style w:type="paragraph" w:styleId="Rodap">
    <w:name w:val="footer"/>
    <w:basedOn w:val="Normal"/>
    <w:rsid w:val="005830EF"/>
  </w:style>
  <w:style w:type="paragraph" w:customStyle="1" w:styleId="Recuodecorpodetexto21">
    <w:name w:val="Recuo de corpo de texto 21"/>
    <w:basedOn w:val="Normal"/>
    <w:rsid w:val="005830EF"/>
    <w:pPr>
      <w:widowControl w:val="0"/>
      <w:spacing w:line="228" w:lineRule="auto"/>
      <w:ind w:left="567" w:hanging="567"/>
    </w:pPr>
    <w:rPr>
      <w:b/>
    </w:rPr>
  </w:style>
  <w:style w:type="paragraph" w:customStyle="1" w:styleId="Recuodecorpodetexto31">
    <w:name w:val="Recuo de corpo de texto 31"/>
    <w:basedOn w:val="Normal"/>
    <w:rsid w:val="005830EF"/>
    <w:pPr>
      <w:widowControl w:val="0"/>
      <w:spacing w:line="228" w:lineRule="auto"/>
      <w:ind w:left="1065"/>
      <w:jc w:val="both"/>
    </w:pPr>
  </w:style>
  <w:style w:type="paragraph" w:customStyle="1" w:styleId="Corpodetexto21">
    <w:name w:val="Corpo de texto 21"/>
    <w:basedOn w:val="Normal"/>
    <w:rsid w:val="005830EF"/>
    <w:pPr>
      <w:widowControl w:val="0"/>
      <w:spacing w:line="228" w:lineRule="auto"/>
    </w:pPr>
    <w:rPr>
      <w:sz w:val="24"/>
    </w:rPr>
  </w:style>
  <w:style w:type="paragraph" w:styleId="PargrafodaLista">
    <w:name w:val="List Paragraph"/>
    <w:basedOn w:val="Normal"/>
    <w:qFormat/>
    <w:rsid w:val="005830EF"/>
    <w:pPr>
      <w:ind w:left="708"/>
    </w:pPr>
  </w:style>
  <w:style w:type="paragraph" w:customStyle="1" w:styleId="Alneas">
    <w:name w:val="Alíneas"/>
    <w:basedOn w:val="Normal"/>
    <w:rsid w:val="005830EF"/>
    <w:pPr>
      <w:spacing w:after="60"/>
      <w:jc w:val="both"/>
    </w:pPr>
    <w:rPr>
      <w:sz w:val="24"/>
    </w:rPr>
  </w:style>
  <w:style w:type="paragraph" w:styleId="Textodebalo">
    <w:name w:val="Balloon Text"/>
    <w:basedOn w:val="Normal"/>
    <w:rsid w:val="005830EF"/>
    <w:rPr>
      <w:rFonts w:ascii="Tahoma" w:hAnsi="Tahoma"/>
      <w:sz w:val="16"/>
      <w:szCs w:val="16"/>
    </w:rPr>
  </w:style>
  <w:style w:type="paragraph" w:customStyle="1" w:styleId="Textodecomentrio1">
    <w:name w:val="Texto de comentário1"/>
    <w:basedOn w:val="Normal"/>
    <w:rsid w:val="005830EF"/>
  </w:style>
  <w:style w:type="paragraph" w:styleId="Assuntodocomentrio">
    <w:name w:val="annotation subject"/>
    <w:basedOn w:val="Textodecomentrio1"/>
    <w:next w:val="Textodecomentrio1"/>
    <w:rsid w:val="005830EF"/>
    <w:rPr>
      <w:b/>
      <w:bCs/>
    </w:rPr>
  </w:style>
  <w:style w:type="paragraph" w:customStyle="1" w:styleId="Contedodequadro">
    <w:name w:val="Conteúdo de quadro"/>
    <w:basedOn w:val="Corpodetexto"/>
    <w:rsid w:val="00583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JULIANEML\Meus%20documentos\Juliane\Adsup\Modelos%20de%20instru&#231;&#227;o\Formul&#225;rios%20SECEX-MG%20(atualizados)\Representa&#231;&#227;o%20-%20SECEX%20MG\Formulario%202_InstrucaoInicialDeRepresentacao_NOV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 2_InstrucaoInicialDeRepresentacao_NOVO</Template>
  <TotalTime>1</TotalTime>
  <Pages>3</Pages>
  <Words>896</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FORMULÁRIO DE EXAME DE ADMISSIBILIDADE DE RECURSOS</vt:lpstr>
    </vt:vector>
  </TitlesOfParts>
  <Company>TCU</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DE EXAME DE ADMISSIBILIDADE DE RECURSOS</dc:title>
  <dc:creator>JULIANEML</dc:creator>
  <cp:lastModifiedBy>RISO</cp:lastModifiedBy>
  <cp:revision>2</cp:revision>
  <cp:lastPrinted>2011-08-24T12:43:00Z</cp:lastPrinted>
  <dcterms:created xsi:type="dcterms:W3CDTF">2013-11-19T18:36:00Z</dcterms:created>
  <dcterms:modified xsi:type="dcterms:W3CDTF">2013-11-19T18:36:00Z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copo">
    <vt:lpwstr>Compartilhado</vt:lpwstr>
  </property>
</Properties>
</file>